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5B4" w:rsidRPr="003D6E0D" w:rsidRDefault="002355B4" w:rsidP="008E7B71">
      <w:pPr>
        <w:jc w:val="right"/>
        <w:rPr>
          <w:b/>
          <w:sz w:val="28"/>
          <w:szCs w:val="28"/>
        </w:rPr>
      </w:pPr>
      <w:r w:rsidRPr="00CB260E">
        <w:rPr>
          <w:b/>
          <w:sz w:val="28"/>
          <w:szCs w:val="28"/>
        </w:rPr>
        <w:t>Филатов А.Ю.</w:t>
      </w:r>
      <w:r>
        <w:rPr>
          <w:b/>
          <w:sz w:val="28"/>
          <w:szCs w:val="28"/>
        </w:rPr>
        <w:t>, Шаталова А.С.</w:t>
      </w:r>
    </w:p>
    <w:p w:rsidR="002355B4" w:rsidRPr="00CB260E" w:rsidRDefault="002355B4" w:rsidP="008E7B71">
      <w:pPr>
        <w:jc w:val="right"/>
        <w:rPr>
          <w:i/>
          <w:sz w:val="28"/>
          <w:szCs w:val="28"/>
        </w:rPr>
      </w:pPr>
      <w:r w:rsidRPr="00CB260E">
        <w:rPr>
          <w:i/>
          <w:sz w:val="28"/>
          <w:szCs w:val="28"/>
        </w:rPr>
        <w:t>Владивосток, ДВФУ</w:t>
      </w:r>
    </w:p>
    <w:p w:rsidR="002355B4" w:rsidRPr="00CB260E" w:rsidRDefault="002355B4" w:rsidP="008E7B71">
      <w:pPr>
        <w:jc w:val="right"/>
        <w:rPr>
          <w:sz w:val="28"/>
          <w:szCs w:val="28"/>
        </w:rPr>
      </w:pPr>
      <w:r w:rsidRPr="00CB260E">
        <w:rPr>
          <w:sz w:val="28"/>
          <w:szCs w:val="28"/>
        </w:rPr>
        <w:t>alexander.filatov@gmail.com</w:t>
      </w:r>
      <w:r>
        <w:rPr>
          <w:sz w:val="28"/>
          <w:szCs w:val="28"/>
        </w:rPr>
        <w:t xml:space="preserve">, </w:t>
      </w:r>
      <w:r w:rsidRPr="00145F82">
        <w:rPr>
          <w:sz w:val="28"/>
          <w:szCs w:val="28"/>
        </w:rPr>
        <w:t>udovik.albina@gmail.com</w:t>
      </w:r>
    </w:p>
    <w:p w:rsidR="002355B4" w:rsidRPr="008E7B71" w:rsidRDefault="002355B4" w:rsidP="008E7B71">
      <w:pPr>
        <w:ind w:firstLine="709"/>
        <w:jc w:val="both"/>
        <w:rPr>
          <w:sz w:val="18"/>
          <w:szCs w:val="28"/>
        </w:rPr>
      </w:pPr>
    </w:p>
    <w:p w:rsidR="002355B4" w:rsidRPr="003A25FF" w:rsidRDefault="002355B4" w:rsidP="008E7B71">
      <w:pPr>
        <w:jc w:val="center"/>
        <w:rPr>
          <w:b/>
          <w:caps/>
          <w:sz w:val="28"/>
          <w:szCs w:val="28"/>
        </w:rPr>
      </w:pPr>
      <w:r w:rsidRPr="003A25FF">
        <w:rPr>
          <w:b/>
          <w:caps/>
          <w:sz w:val="28"/>
          <w:szCs w:val="28"/>
        </w:rPr>
        <w:t>Гравитационные модели международной торговли</w:t>
      </w:r>
    </w:p>
    <w:p w:rsidR="002355B4" w:rsidRPr="003A25FF" w:rsidRDefault="002355B4" w:rsidP="008E7B71">
      <w:pPr>
        <w:jc w:val="center"/>
        <w:rPr>
          <w:b/>
          <w:caps/>
          <w:sz w:val="28"/>
          <w:szCs w:val="28"/>
        </w:rPr>
      </w:pPr>
      <w:r w:rsidRPr="003A25FF">
        <w:rPr>
          <w:b/>
          <w:caps/>
          <w:sz w:val="28"/>
          <w:szCs w:val="28"/>
        </w:rPr>
        <w:t>в азиатско-тихоокеанском регионе</w:t>
      </w:r>
    </w:p>
    <w:p w:rsidR="008E7B71" w:rsidRPr="008E7B71" w:rsidRDefault="008E7B71" w:rsidP="008E7B71">
      <w:pPr>
        <w:jc w:val="center"/>
        <w:rPr>
          <w:b/>
          <w:i/>
          <w:caps/>
        </w:rPr>
      </w:pPr>
    </w:p>
    <w:p w:rsidR="008E7B71" w:rsidRPr="008E7B71" w:rsidRDefault="008E7B71" w:rsidP="008E7B71">
      <w:pPr>
        <w:jc w:val="center"/>
        <w:rPr>
          <w:i/>
        </w:rPr>
      </w:pPr>
      <w:r w:rsidRPr="008E7B71">
        <w:rPr>
          <w:i/>
        </w:rPr>
        <w:t>Исследования выполнены при поддержке РФФИ, грант 19-010-00183.</w:t>
      </w:r>
    </w:p>
    <w:p w:rsidR="00065ED1" w:rsidRPr="008E7B71" w:rsidRDefault="00065ED1" w:rsidP="008E7B71">
      <w:pPr>
        <w:ind w:firstLine="709"/>
        <w:jc w:val="both"/>
      </w:pPr>
    </w:p>
    <w:p w:rsidR="00E6783B" w:rsidRDefault="00E6783B" w:rsidP="008E7B71">
      <w:pPr>
        <w:ind w:firstLine="709"/>
        <w:jc w:val="both"/>
        <w:rPr>
          <w:spacing w:val="4"/>
          <w:sz w:val="28"/>
          <w:szCs w:val="28"/>
        </w:rPr>
      </w:pPr>
      <w:r w:rsidRPr="008E7B71">
        <w:rPr>
          <w:spacing w:val="4"/>
        </w:rPr>
        <w:t xml:space="preserve">Несмотря </w:t>
      </w:r>
      <w:r>
        <w:rPr>
          <w:spacing w:val="4"/>
          <w:sz w:val="28"/>
          <w:szCs w:val="28"/>
        </w:rPr>
        <w:t>на эконом</w:t>
      </w:r>
      <w:bookmarkStart w:id="0" w:name="_GoBack"/>
      <w:bookmarkEnd w:id="0"/>
      <w:r>
        <w:rPr>
          <w:spacing w:val="4"/>
          <w:sz w:val="28"/>
          <w:szCs w:val="28"/>
        </w:rPr>
        <w:t>ические циклы и мировые кризисы, последние десятилетия стали самыми успешными в мировой экономике в плане экономического роста: его темпы в 1990-2007 годах составляли в среднем 4,3%, а после кризиса 2008-2009 годов – 3,0-3,7% в год. Одним из самых значимых факторов роста, конечно, стала торговля.</w:t>
      </w:r>
    </w:p>
    <w:p w:rsidR="00E6783B" w:rsidRDefault="00E6783B" w:rsidP="008E7B71">
      <w:pPr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Торговля – внутри региона, между регионами и между странами – многократно выросла благодаря пятидесятикратному за 200 лет сокращению транспортных издержек, двенадцатикратному (с 32% в 1930 до 2,59% в 2017 году) снижению среднего таможенного тарифа и почти полному исчезновению, благодаря распространению мобильной связи и интернета, коммуникационных издержек </w:t>
      </w:r>
      <w:r w:rsidRPr="003E043A">
        <w:rPr>
          <w:spacing w:val="4"/>
          <w:sz w:val="28"/>
          <w:szCs w:val="28"/>
        </w:rPr>
        <w:t>[1]</w:t>
      </w:r>
      <w:r>
        <w:rPr>
          <w:spacing w:val="4"/>
          <w:sz w:val="28"/>
          <w:szCs w:val="28"/>
        </w:rPr>
        <w:t>.</w:t>
      </w:r>
    </w:p>
    <w:p w:rsidR="00E6783B" w:rsidRDefault="00E6783B" w:rsidP="008E7B71">
      <w:pPr>
        <w:ind w:firstLine="709"/>
        <w:jc w:val="both"/>
        <w:rPr>
          <w:rFonts w:eastAsia="Calibri"/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Для моделирования международной торговли часто используются гравитационные модели, представляющие собой </w:t>
      </w:r>
      <w:r w:rsidR="008D5AB4">
        <w:rPr>
          <w:spacing w:val="4"/>
          <w:sz w:val="28"/>
          <w:szCs w:val="28"/>
        </w:rPr>
        <w:t>экономический аналог</w:t>
      </w:r>
      <w:r w:rsidR="008D5AB4" w:rsidRPr="00837DBA">
        <w:rPr>
          <w:rFonts w:eastAsia="Calibri"/>
          <w:spacing w:val="4"/>
          <w:sz w:val="28"/>
          <w:szCs w:val="28"/>
        </w:rPr>
        <w:t xml:space="preserve"> Закона всемирного тяготения Исаака Ньютона</w:t>
      </w:r>
      <w:r>
        <w:rPr>
          <w:rFonts w:eastAsia="Calibri"/>
          <w:spacing w:val="4"/>
          <w:sz w:val="28"/>
          <w:szCs w:val="28"/>
        </w:rPr>
        <w:t xml:space="preserve">. Этот подход </w:t>
      </w:r>
      <w:r w:rsidR="008D5AB4">
        <w:rPr>
          <w:rFonts w:eastAsia="Calibri"/>
          <w:spacing w:val="4"/>
          <w:sz w:val="28"/>
          <w:szCs w:val="28"/>
        </w:rPr>
        <w:t>был предложен в</w:t>
      </w:r>
      <w:r w:rsidR="008D5AB4" w:rsidRPr="00837DBA">
        <w:rPr>
          <w:rFonts w:eastAsia="Calibri"/>
          <w:spacing w:val="4"/>
          <w:sz w:val="28"/>
          <w:szCs w:val="28"/>
        </w:rPr>
        <w:t xml:space="preserve"> 1962 году голландц</w:t>
      </w:r>
      <w:r w:rsidR="008D5AB4">
        <w:rPr>
          <w:rFonts w:eastAsia="Calibri"/>
          <w:spacing w:val="4"/>
          <w:sz w:val="28"/>
          <w:szCs w:val="28"/>
        </w:rPr>
        <w:t>ем</w:t>
      </w:r>
      <w:r w:rsidR="008D5AB4" w:rsidRPr="00837DBA">
        <w:rPr>
          <w:rFonts w:eastAsia="Calibri"/>
          <w:spacing w:val="4"/>
          <w:sz w:val="28"/>
          <w:szCs w:val="28"/>
        </w:rPr>
        <w:t xml:space="preserve"> Ян</w:t>
      </w:r>
      <w:r w:rsidR="008D5AB4">
        <w:rPr>
          <w:rFonts w:eastAsia="Calibri"/>
          <w:spacing w:val="4"/>
          <w:sz w:val="28"/>
          <w:szCs w:val="28"/>
        </w:rPr>
        <w:t>ом</w:t>
      </w:r>
      <w:r w:rsidR="008D5AB4" w:rsidRPr="00837DBA">
        <w:rPr>
          <w:rFonts w:eastAsia="Calibri"/>
          <w:spacing w:val="4"/>
          <w:sz w:val="28"/>
          <w:szCs w:val="28"/>
        </w:rPr>
        <w:t xml:space="preserve"> </w:t>
      </w:r>
      <w:proofErr w:type="spellStart"/>
      <w:r w:rsidR="008D5AB4" w:rsidRPr="00837DBA">
        <w:rPr>
          <w:rFonts w:eastAsia="Calibri"/>
          <w:spacing w:val="4"/>
          <w:sz w:val="28"/>
          <w:szCs w:val="28"/>
        </w:rPr>
        <w:t>Тинберген</w:t>
      </w:r>
      <w:r w:rsidR="008D5AB4">
        <w:rPr>
          <w:rFonts w:eastAsia="Calibri"/>
          <w:spacing w:val="4"/>
          <w:sz w:val="28"/>
          <w:szCs w:val="28"/>
        </w:rPr>
        <w:t>ом</w:t>
      </w:r>
      <w:proofErr w:type="spellEnd"/>
      <w:r w:rsidR="008D5AB4" w:rsidRPr="00837DBA">
        <w:rPr>
          <w:rFonts w:eastAsia="Calibri"/>
          <w:spacing w:val="4"/>
          <w:sz w:val="28"/>
          <w:szCs w:val="28"/>
        </w:rPr>
        <w:t xml:space="preserve"> [</w:t>
      </w:r>
      <w:r>
        <w:rPr>
          <w:rFonts w:eastAsia="Calibri"/>
          <w:spacing w:val="4"/>
          <w:sz w:val="28"/>
          <w:szCs w:val="28"/>
        </w:rPr>
        <w:t>2</w:t>
      </w:r>
      <w:r w:rsidR="008D5AB4" w:rsidRPr="00837DBA">
        <w:rPr>
          <w:rFonts w:eastAsia="Calibri"/>
          <w:spacing w:val="4"/>
          <w:sz w:val="28"/>
          <w:szCs w:val="28"/>
        </w:rPr>
        <w:t>]</w:t>
      </w:r>
      <w:r>
        <w:rPr>
          <w:rFonts w:eastAsia="Calibri"/>
          <w:spacing w:val="4"/>
          <w:sz w:val="28"/>
          <w:szCs w:val="28"/>
        </w:rPr>
        <w:t xml:space="preserve"> и в базовом варианте описывается </w:t>
      </w:r>
      <w:r w:rsidR="00131E88">
        <w:rPr>
          <w:rFonts w:eastAsia="Calibri"/>
          <w:spacing w:val="4"/>
          <w:sz w:val="28"/>
          <w:szCs w:val="28"/>
        </w:rPr>
        <w:t xml:space="preserve">следующим лог-линейным </w:t>
      </w:r>
      <w:r>
        <w:rPr>
          <w:rFonts w:eastAsia="Calibri"/>
          <w:spacing w:val="4"/>
          <w:sz w:val="28"/>
          <w:szCs w:val="28"/>
        </w:rPr>
        <w:t>уравнением</w:t>
      </w:r>
      <w:r w:rsidR="00131E88">
        <w:rPr>
          <w:rFonts w:eastAsia="Calibri"/>
          <w:spacing w:val="4"/>
          <w:sz w:val="28"/>
          <w:szCs w:val="28"/>
        </w:rPr>
        <w:t>:</w:t>
      </w:r>
    </w:p>
    <w:p w:rsidR="00131E88" w:rsidRPr="00DE5CD3" w:rsidRDefault="00131E88" w:rsidP="008E7B71">
      <w:pPr>
        <w:ind w:firstLine="709"/>
        <w:jc w:val="both"/>
        <w:rPr>
          <w:sz w:val="28"/>
          <w:szCs w:val="28"/>
        </w:rPr>
      </w:pPr>
      <w:r w:rsidRPr="00DE5CD3">
        <w:rPr>
          <w:position w:val="-16"/>
          <w:sz w:val="28"/>
          <w:szCs w:val="28"/>
        </w:rPr>
        <w:object w:dxaOrig="48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65pt;height:20.4pt" o:ole="">
            <v:imagedata r:id="rId7" o:title=""/>
          </v:shape>
          <o:OLEObject Type="Embed" ProgID="Equation.3" ShapeID="_x0000_i1025" DrawAspect="Content" ObjectID="_1663278917" r:id="rId8"/>
        </w:object>
      </w:r>
      <w:r w:rsidRPr="00DE5CD3">
        <w:rPr>
          <w:sz w:val="28"/>
          <w:szCs w:val="28"/>
        </w:rPr>
        <w:tab/>
      </w:r>
      <w:r w:rsidRPr="00DE5CD3">
        <w:rPr>
          <w:sz w:val="28"/>
          <w:szCs w:val="28"/>
        </w:rPr>
        <w:tab/>
      </w:r>
      <w:r w:rsidRPr="00DE5CD3">
        <w:rPr>
          <w:sz w:val="28"/>
          <w:szCs w:val="28"/>
        </w:rPr>
        <w:tab/>
      </w:r>
      <w:r w:rsidRPr="00DE5CD3">
        <w:rPr>
          <w:sz w:val="28"/>
          <w:szCs w:val="28"/>
        </w:rPr>
        <w:tab/>
      </w:r>
      <w:r w:rsidRPr="00DE5CD3">
        <w:rPr>
          <w:sz w:val="28"/>
          <w:szCs w:val="28"/>
        </w:rPr>
        <w:tab/>
        <w:t>(</w:t>
      </w:r>
      <w:r>
        <w:rPr>
          <w:sz w:val="28"/>
          <w:szCs w:val="28"/>
        </w:rPr>
        <w:t>1</w:t>
      </w:r>
      <w:r w:rsidRPr="00DE5CD3">
        <w:rPr>
          <w:sz w:val="28"/>
          <w:szCs w:val="28"/>
        </w:rPr>
        <w:t>)</w:t>
      </w:r>
    </w:p>
    <w:p w:rsidR="00E6783B" w:rsidRDefault="00131E88" w:rsidP="008E7B71">
      <w:pPr>
        <w:jc w:val="both"/>
        <w:rPr>
          <w:rFonts w:eastAsia="Calibri"/>
          <w:spacing w:val="4"/>
          <w:sz w:val="28"/>
          <w:szCs w:val="28"/>
        </w:rPr>
      </w:pPr>
      <w:r w:rsidRPr="00DE5CD3">
        <w:rPr>
          <w:sz w:val="28"/>
          <w:szCs w:val="28"/>
        </w:rPr>
        <w:t xml:space="preserve">Здесь </w:t>
      </w:r>
      <w:r w:rsidRPr="00DE5CD3">
        <w:rPr>
          <w:rFonts w:eastAsia="Calibri"/>
          <w:i/>
          <w:sz w:val="28"/>
          <w:szCs w:val="28"/>
          <w:lang w:val="en-US"/>
        </w:rPr>
        <w:t>F</w:t>
      </w:r>
      <w:r w:rsidRPr="00DE5CD3">
        <w:rPr>
          <w:rFonts w:eastAsia="Calibri"/>
          <w:i/>
          <w:sz w:val="28"/>
          <w:szCs w:val="28"/>
          <w:vertAlign w:val="subscript"/>
          <w:lang w:val="en-US"/>
        </w:rPr>
        <w:t>ij</w:t>
      </w:r>
      <w:r w:rsidRPr="00DE5CD3">
        <w:rPr>
          <w:sz w:val="28"/>
          <w:szCs w:val="28"/>
        </w:rPr>
        <w:t xml:space="preserve"> – объем экспорта из </w:t>
      </w:r>
      <w:r w:rsidRPr="00DE5CD3">
        <w:rPr>
          <w:i/>
          <w:sz w:val="28"/>
          <w:szCs w:val="28"/>
          <w:lang w:val="en-US"/>
        </w:rPr>
        <w:t>i</w:t>
      </w:r>
      <w:r w:rsidRPr="00DE5CD3">
        <w:rPr>
          <w:sz w:val="28"/>
          <w:szCs w:val="28"/>
        </w:rPr>
        <w:t xml:space="preserve">-региона в </w:t>
      </w:r>
      <w:r w:rsidRPr="00DE5CD3">
        <w:rPr>
          <w:i/>
          <w:sz w:val="28"/>
          <w:szCs w:val="28"/>
          <w:lang w:val="en-US"/>
        </w:rPr>
        <w:t>j</w:t>
      </w:r>
      <w:r w:rsidRPr="00DE5CD3">
        <w:rPr>
          <w:sz w:val="28"/>
          <w:szCs w:val="28"/>
        </w:rPr>
        <w:t xml:space="preserve">-регион, </w:t>
      </w:r>
      <w:r w:rsidRPr="00DE5CD3">
        <w:rPr>
          <w:rFonts w:eastAsia="Calibri"/>
          <w:i/>
          <w:sz w:val="28"/>
          <w:szCs w:val="28"/>
          <w:lang w:val="en-US"/>
        </w:rPr>
        <w:t>M</w:t>
      </w:r>
      <w:r w:rsidRPr="00DE5CD3">
        <w:rPr>
          <w:rFonts w:eastAsia="Calibri"/>
          <w:i/>
          <w:sz w:val="28"/>
          <w:szCs w:val="28"/>
          <w:vertAlign w:val="subscript"/>
          <w:lang w:val="en-US"/>
        </w:rPr>
        <w:t>i</w:t>
      </w:r>
      <w:r w:rsidRPr="00DE5CD3">
        <w:rPr>
          <w:rFonts w:eastAsia="Calibri"/>
          <w:sz w:val="28"/>
          <w:szCs w:val="28"/>
        </w:rPr>
        <w:t xml:space="preserve"> и </w:t>
      </w:r>
      <w:r w:rsidRPr="00DE5CD3">
        <w:rPr>
          <w:rFonts w:eastAsia="Calibri"/>
          <w:i/>
          <w:sz w:val="28"/>
          <w:szCs w:val="28"/>
          <w:lang w:val="en-US"/>
        </w:rPr>
        <w:t>M</w:t>
      </w:r>
      <w:r w:rsidRPr="00DE5CD3">
        <w:rPr>
          <w:rFonts w:eastAsia="Calibri"/>
          <w:i/>
          <w:sz w:val="28"/>
          <w:szCs w:val="28"/>
          <w:vertAlign w:val="subscript"/>
          <w:lang w:val="en-US"/>
        </w:rPr>
        <w:t>j</w:t>
      </w:r>
      <w:r w:rsidRPr="00DE5CD3">
        <w:rPr>
          <w:sz w:val="28"/>
          <w:szCs w:val="28"/>
        </w:rPr>
        <w:t xml:space="preserve"> – валовые региональные продукты, характеризующие экономическую массу регионов, </w:t>
      </w:r>
      <w:r w:rsidRPr="00DE5CD3">
        <w:rPr>
          <w:rFonts w:eastAsia="Calibri"/>
          <w:i/>
          <w:sz w:val="28"/>
          <w:szCs w:val="28"/>
          <w:lang w:val="en-US"/>
        </w:rPr>
        <w:t>D</w:t>
      </w:r>
      <w:r w:rsidRPr="00DE5CD3">
        <w:rPr>
          <w:rFonts w:eastAsia="Calibri"/>
          <w:i/>
          <w:sz w:val="28"/>
          <w:szCs w:val="28"/>
          <w:vertAlign w:val="subscript"/>
          <w:lang w:val="en-US"/>
        </w:rPr>
        <w:t>ij</w:t>
      </w:r>
      <w:r w:rsidRPr="00DE5CD3">
        <w:rPr>
          <w:sz w:val="28"/>
          <w:szCs w:val="28"/>
        </w:rPr>
        <w:t xml:space="preserve"> – расстояние между регионами, </w:t>
      </w:r>
      <w:r w:rsidRPr="00DE5CD3">
        <w:rPr>
          <w:i/>
          <w:sz w:val="28"/>
          <w:szCs w:val="28"/>
        </w:rPr>
        <w:sym w:font="Symbol" w:char="F061"/>
      </w:r>
      <w:r w:rsidRPr="00DE5CD3">
        <w:rPr>
          <w:sz w:val="28"/>
          <w:szCs w:val="28"/>
        </w:rPr>
        <w:t xml:space="preserve">, </w:t>
      </w:r>
      <w:r w:rsidRPr="00DE5CD3">
        <w:rPr>
          <w:i/>
          <w:sz w:val="28"/>
          <w:szCs w:val="28"/>
        </w:rPr>
        <w:sym w:font="Symbol" w:char="F062"/>
      </w:r>
      <w:r w:rsidRPr="00DE5CD3">
        <w:rPr>
          <w:sz w:val="28"/>
          <w:szCs w:val="28"/>
        </w:rPr>
        <w:t xml:space="preserve">, </w:t>
      </w:r>
      <w:r w:rsidRPr="00DE5CD3">
        <w:rPr>
          <w:i/>
          <w:sz w:val="28"/>
          <w:szCs w:val="28"/>
        </w:rPr>
        <w:sym w:font="Symbol" w:char="F071"/>
      </w:r>
      <w:r w:rsidRPr="00DE5CD3">
        <w:rPr>
          <w:sz w:val="28"/>
          <w:szCs w:val="28"/>
        </w:rPr>
        <w:t xml:space="preserve"> – оцениваемые эластичности экспорта по соответствующим переменным.</w:t>
      </w:r>
    </w:p>
    <w:p w:rsidR="008D5AB4" w:rsidRPr="00E4530D" w:rsidRDefault="008D5AB4" w:rsidP="008E7B71">
      <w:pPr>
        <w:ind w:firstLine="709"/>
        <w:jc w:val="both"/>
        <w:rPr>
          <w:rFonts w:eastAsia="Calibri"/>
          <w:sz w:val="28"/>
          <w:szCs w:val="28"/>
        </w:rPr>
      </w:pPr>
      <w:r w:rsidRPr="00DE5CD3">
        <w:rPr>
          <w:rFonts w:eastAsia="Calibri"/>
          <w:sz w:val="28"/>
          <w:szCs w:val="28"/>
        </w:rPr>
        <w:t xml:space="preserve">К настоящему моменту гравитационные модели международной торговли вошли в </w:t>
      </w:r>
      <w:proofErr w:type="spellStart"/>
      <w:r w:rsidRPr="00DE5CD3">
        <w:rPr>
          <w:rFonts w:eastAsia="Calibri"/>
          <w:sz w:val="28"/>
          <w:szCs w:val="28"/>
        </w:rPr>
        <w:t>мэйнстрим</w:t>
      </w:r>
      <w:proofErr w:type="spellEnd"/>
      <w:r w:rsidRPr="00DE5CD3">
        <w:rPr>
          <w:rFonts w:eastAsia="Calibri"/>
          <w:sz w:val="28"/>
          <w:szCs w:val="28"/>
        </w:rPr>
        <w:t xml:space="preserve">, по данной тематике написаны десятки теоретических статей. </w:t>
      </w:r>
      <w:r>
        <w:rPr>
          <w:rFonts w:eastAsia="Calibri"/>
          <w:sz w:val="28"/>
          <w:szCs w:val="28"/>
        </w:rPr>
        <w:t xml:space="preserve">Андерсон </w:t>
      </w:r>
      <w:r w:rsidRPr="00890D16">
        <w:rPr>
          <w:rFonts w:eastAsia="Calibri"/>
          <w:sz w:val="28"/>
          <w:szCs w:val="28"/>
        </w:rPr>
        <w:t>[</w:t>
      </w:r>
      <w:r w:rsidRPr="008D5AB4">
        <w:rPr>
          <w:rFonts w:eastAsia="Calibri"/>
          <w:sz w:val="28"/>
          <w:szCs w:val="28"/>
        </w:rPr>
        <w:t>3</w:t>
      </w:r>
      <w:r w:rsidRPr="00890D16">
        <w:rPr>
          <w:rFonts w:eastAsia="Calibri"/>
          <w:sz w:val="28"/>
          <w:szCs w:val="28"/>
        </w:rPr>
        <w:t xml:space="preserve">], </w:t>
      </w:r>
      <w:proofErr w:type="spellStart"/>
      <w:r>
        <w:rPr>
          <w:rFonts w:eastAsia="Calibri"/>
          <w:sz w:val="28"/>
          <w:szCs w:val="28"/>
        </w:rPr>
        <w:t>Хелпман</w:t>
      </w:r>
      <w:proofErr w:type="spellEnd"/>
      <w:r>
        <w:rPr>
          <w:rFonts w:eastAsia="Calibri"/>
          <w:sz w:val="28"/>
          <w:szCs w:val="28"/>
        </w:rPr>
        <w:t xml:space="preserve"> и </w:t>
      </w:r>
      <w:proofErr w:type="spellStart"/>
      <w:r>
        <w:rPr>
          <w:rFonts w:eastAsia="Calibri"/>
          <w:sz w:val="28"/>
          <w:szCs w:val="28"/>
        </w:rPr>
        <w:t>Кругман</w:t>
      </w:r>
      <w:proofErr w:type="spellEnd"/>
      <w:r>
        <w:rPr>
          <w:rFonts w:eastAsia="Calibri"/>
          <w:sz w:val="28"/>
          <w:szCs w:val="28"/>
        </w:rPr>
        <w:t xml:space="preserve"> [4</w:t>
      </w:r>
      <w:r w:rsidRPr="00890D16">
        <w:rPr>
          <w:rFonts w:eastAsia="Calibri"/>
          <w:sz w:val="28"/>
          <w:szCs w:val="28"/>
        </w:rPr>
        <w:t xml:space="preserve">], </w:t>
      </w:r>
      <w:proofErr w:type="spellStart"/>
      <w:r>
        <w:rPr>
          <w:rFonts w:eastAsia="Calibri"/>
          <w:sz w:val="28"/>
          <w:szCs w:val="28"/>
        </w:rPr>
        <w:t>Хелпман</w:t>
      </w:r>
      <w:proofErr w:type="spellEnd"/>
      <w:r>
        <w:rPr>
          <w:rFonts w:eastAsia="Calibri"/>
          <w:sz w:val="28"/>
          <w:szCs w:val="28"/>
        </w:rPr>
        <w:t xml:space="preserve"> [</w:t>
      </w:r>
      <w:r w:rsidRPr="008D5AB4">
        <w:rPr>
          <w:rFonts w:eastAsia="Calibri"/>
          <w:sz w:val="28"/>
          <w:szCs w:val="28"/>
        </w:rPr>
        <w:t>5</w:t>
      </w:r>
      <w:r w:rsidRPr="00890D16">
        <w:rPr>
          <w:rFonts w:eastAsia="Calibri"/>
          <w:sz w:val="28"/>
          <w:szCs w:val="28"/>
        </w:rPr>
        <w:t xml:space="preserve">], </w:t>
      </w:r>
      <w:proofErr w:type="spellStart"/>
      <w:r>
        <w:rPr>
          <w:rFonts w:eastAsia="Calibri"/>
          <w:sz w:val="28"/>
          <w:szCs w:val="28"/>
        </w:rPr>
        <w:t>Феенстра</w:t>
      </w:r>
      <w:proofErr w:type="spellEnd"/>
      <w:r>
        <w:rPr>
          <w:rFonts w:eastAsia="Calibri"/>
          <w:sz w:val="28"/>
          <w:szCs w:val="28"/>
        </w:rPr>
        <w:t xml:space="preserve"> [</w:t>
      </w:r>
      <w:r w:rsidRPr="008D5AB4">
        <w:rPr>
          <w:rFonts w:eastAsia="Calibri"/>
          <w:sz w:val="28"/>
          <w:szCs w:val="28"/>
        </w:rPr>
        <w:t>6</w:t>
      </w:r>
      <w:r w:rsidRPr="00890D16">
        <w:rPr>
          <w:rFonts w:eastAsia="Calibri"/>
          <w:sz w:val="28"/>
          <w:szCs w:val="28"/>
        </w:rPr>
        <w:t>]</w:t>
      </w:r>
      <w:r>
        <w:rPr>
          <w:rFonts w:eastAsia="Calibri"/>
          <w:sz w:val="28"/>
          <w:szCs w:val="28"/>
        </w:rPr>
        <w:t>,</w:t>
      </w:r>
      <w:r w:rsidRPr="00D27D20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Хелпман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Мелиц</w:t>
      </w:r>
      <w:proofErr w:type="spellEnd"/>
      <w:r>
        <w:rPr>
          <w:rFonts w:eastAsia="Calibri"/>
          <w:sz w:val="28"/>
          <w:szCs w:val="28"/>
        </w:rPr>
        <w:t xml:space="preserve"> и Рубинштейн </w:t>
      </w:r>
      <w:r w:rsidRPr="00D27D20">
        <w:rPr>
          <w:rFonts w:eastAsia="Calibri"/>
          <w:sz w:val="28"/>
          <w:szCs w:val="28"/>
        </w:rPr>
        <w:t>[</w:t>
      </w:r>
      <w:r w:rsidRPr="008D5AB4">
        <w:rPr>
          <w:rFonts w:eastAsia="Calibri"/>
          <w:sz w:val="28"/>
          <w:szCs w:val="28"/>
        </w:rPr>
        <w:t>7</w:t>
      </w:r>
      <w:r w:rsidRPr="00D27D20">
        <w:rPr>
          <w:rFonts w:eastAsia="Calibri"/>
          <w:sz w:val="28"/>
          <w:szCs w:val="28"/>
        </w:rPr>
        <w:t xml:space="preserve">] </w:t>
      </w:r>
      <w:r>
        <w:rPr>
          <w:rFonts w:eastAsia="Calibri"/>
          <w:sz w:val="28"/>
          <w:szCs w:val="28"/>
        </w:rPr>
        <w:t>и другие ученые обеспечили теоретическое обоснование гравитационных уравнений. Современные модификации моделей объясняют нулевую торговлю между некоторыми странами [</w:t>
      </w:r>
      <w:r w:rsidRPr="008D5AB4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] и асимметрию торговых потоков. Они учитывают эффект общей границы </w:t>
      </w:r>
      <w:r w:rsidRPr="00494801">
        <w:rPr>
          <w:rFonts w:eastAsia="Calibri"/>
          <w:sz w:val="28"/>
          <w:szCs w:val="28"/>
        </w:rPr>
        <w:t>[</w:t>
      </w:r>
      <w:r w:rsidRPr="008D5AB4">
        <w:rPr>
          <w:rFonts w:eastAsia="Calibri"/>
          <w:sz w:val="28"/>
          <w:szCs w:val="28"/>
        </w:rPr>
        <w:t>9</w:t>
      </w:r>
      <w:r w:rsidRPr="00494801">
        <w:rPr>
          <w:rFonts w:eastAsia="Calibri"/>
          <w:sz w:val="28"/>
          <w:szCs w:val="28"/>
        </w:rPr>
        <w:t>]</w:t>
      </w:r>
      <w:r>
        <w:rPr>
          <w:rFonts w:eastAsia="Calibri"/>
          <w:sz w:val="28"/>
          <w:szCs w:val="28"/>
        </w:rPr>
        <w:t>, принадлежность одному торговому блоку</w:t>
      </w:r>
      <w:r w:rsidRPr="00494801">
        <w:rPr>
          <w:rFonts w:eastAsia="Calibri"/>
          <w:sz w:val="28"/>
          <w:szCs w:val="28"/>
        </w:rPr>
        <w:t xml:space="preserve"> [1</w:t>
      </w:r>
      <w:r w:rsidRPr="008D5AB4">
        <w:rPr>
          <w:rFonts w:eastAsia="Calibri"/>
          <w:sz w:val="28"/>
          <w:szCs w:val="28"/>
        </w:rPr>
        <w:t>0</w:t>
      </w:r>
      <w:r w:rsidRPr="00494801">
        <w:rPr>
          <w:rFonts w:eastAsia="Calibri"/>
          <w:sz w:val="28"/>
          <w:szCs w:val="28"/>
        </w:rPr>
        <w:t>],</w:t>
      </w:r>
      <w:r>
        <w:rPr>
          <w:rFonts w:eastAsia="Calibri"/>
          <w:sz w:val="28"/>
          <w:szCs w:val="28"/>
        </w:rPr>
        <w:t xml:space="preserve"> общую валюту </w:t>
      </w:r>
      <w:r w:rsidRPr="00494801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1</w:t>
      </w:r>
      <w:r w:rsidRPr="00494801">
        <w:rPr>
          <w:rFonts w:eastAsia="Calibri"/>
          <w:sz w:val="28"/>
          <w:szCs w:val="28"/>
        </w:rPr>
        <w:t xml:space="preserve">], </w:t>
      </w:r>
      <w:r>
        <w:rPr>
          <w:rFonts w:eastAsia="Calibri"/>
          <w:sz w:val="28"/>
          <w:szCs w:val="28"/>
        </w:rPr>
        <w:t xml:space="preserve">валютный режим </w:t>
      </w:r>
      <w:r w:rsidRPr="00E4530D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2</w:t>
      </w:r>
      <w:r w:rsidRPr="00E4530D">
        <w:rPr>
          <w:rFonts w:eastAsia="Calibri"/>
          <w:sz w:val="28"/>
          <w:szCs w:val="28"/>
        </w:rPr>
        <w:t xml:space="preserve">], </w:t>
      </w:r>
      <w:r>
        <w:rPr>
          <w:rFonts w:eastAsia="Calibri"/>
          <w:sz w:val="28"/>
          <w:szCs w:val="28"/>
        </w:rPr>
        <w:t xml:space="preserve">членство в ВТО </w:t>
      </w:r>
      <w:r w:rsidRPr="00E4530D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3</w:t>
      </w:r>
      <w:r w:rsidRPr="00E4530D">
        <w:rPr>
          <w:rFonts w:eastAsia="Calibri"/>
          <w:sz w:val="28"/>
          <w:szCs w:val="28"/>
        </w:rPr>
        <w:t>]</w:t>
      </w:r>
      <w:r>
        <w:rPr>
          <w:rFonts w:eastAsia="Calibri"/>
          <w:sz w:val="28"/>
          <w:szCs w:val="28"/>
        </w:rPr>
        <w:t>, эффект домашнего рынка [1</w:t>
      </w:r>
      <w:r w:rsidRPr="008D5AB4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], единство и близость языка </w:t>
      </w:r>
      <w:r w:rsidRPr="00E4530D">
        <w:rPr>
          <w:rFonts w:eastAsia="Calibri"/>
          <w:sz w:val="28"/>
          <w:szCs w:val="28"/>
        </w:rPr>
        <w:t>[1</w:t>
      </w:r>
      <w:r w:rsidRPr="008D5AB4">
        <w:rPr>
          <w:rFonts w:eastAsia="Calibri"/>
          <w:sz w:val="28"/>
          <w:szCs w:val="28"/>
        </w:rPr>
        <w:t>5</w:t>
      </w:r>
      <w:r w:rsidRPr="00E4530D">
        <w:rPr>
          <w:rFonts w:eastAsia="Calibri"/>
          <w:sz w:val="28"/>
          <w:szCs w:val="28"/>
        </w:rPr>
        <w:t xml:space="preserve">] </w:t>
      </w:r>
      <w:r>
        <w:rPr>
          <w:rFonts w:eastAsia="Calibri"/>
          <w:sz w:val="28"/>
          <w:szCs w:val="28"/>
        </w:rPr>
        <w:t>и другие факторы.</w:t>
      </w:r>
    </w:p>
    <w:p w:rsidR="00131E88" w:rsidRPr="00131E88" w:rsidRDefault="003A25FF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Немало</w:t>
      </w:r>
      <w:r w:rsidR="00131E88">
        <w:rPr>
          <w:sz w:val="28"/>
          <w:szCs w:val="28"/>
        </w:rPr>
        <w:t xml:space="preserve"> эмпирических работ посвящено оцениванию гравитационных уравнений для разных регионов мира и отдельных стран в разные периоды времени. Наша работа</w:t>
      </w:r>
      <w:r w:rsidR="003516D2">
        <w:rPr>
          <w:sz w:val="28"/>
          <w:szCs w:val="28"/>
        </w:rPr>
        <w:t xml:space="preserve"> посвящена анализу международной торговли в </w:t>
      </w:r>
      <w:r w:rsidR="003516D2">
        <w:rPr>
          <w:sz w:val="28"/>
          <w:szCs w:val="28"/>
        </w:rPr>
        <w:lastRenderedPageBreak/>
        <w:t>Азиатско-Тихоокеанском регионе, который является ключевым для Российской Федерации.</w:t>
      </w:r>
    </w:p>
    <w:p w:rsidR="003516D2" w:rsidRDefault="003516D2" w:rsidP="008E7B7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показывают (рис.1), что с</w:t>
      </w:r>
      <w:r w:rsidRPr="002271C4">
        <w:rPr>
          <w:rFonts w:ascii="Times New Roman" w:hAnsi="Times New Roman"/>
          <w:sz w:val="28"/>
          <w:szCs w:val="28"/>
        </w:rPr>
        <w:t xml:space="preserve">альдо внешней торговли </w:t>
      </w:r>
      <w:r>
        <w:rPr>
          <w:rFonts w:ascii="Times New Roman" w:hAnsi="Times New Roman"/>
          <w:sz w:val="28"/>
          <w:szCs w:val="28"/>
        </w:rPr>
        <w:t>России со странами АТР</w:t>
      </w:r>
      <w:r w:rsidRPr="002271C4">
        <w:rPr>
          <w:rFonts w:ascii="Times New Roman" w:hAnsi="Times New Roman"/>
          <w:sz w:val="28"/>
          <w:szCs w:val="28"/>
        </w:rPr>
        <w:t xml:space="preserve"> на протяжении 2010-2013 годов было отрицательным</w:t>
      </w:r>
      <w:r>
        <w:rPr>
          <w:rFonts w:ascii="Times New Roman" w:hAnsi="Times New Roman"/>
          <w:sz w:val="28"/>
          <w:szCs w:val="28"/>
        </w:rPr>
        <w:t>, то есть импорт преобладал над экспортом</w:t>
      </w:r>
      <w:r w:rsidR="00435A2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страна была</w:t>
      </w:r>
      <w:r w:rsidRPr="002271C4">
        <w:rPr>
          <w:rFonts w:ascii="Times New Roman" w:hAnsi="Times New Roman"/>
          <w:sz w:val="28"/>
          <w:szCs w:val="28"/>
        </w:rPr>
        <w:t xml:space="preserve"> нетто-импортер</w:t>
      </w:r>
      <w:r>
        <w:rPr>
          <w:rFonts w:ascii="Times New Roman" w:hAnsi="Times New Roman"/>
          <w:sz w:val="28"/>
          <w:szCs w:val="28"/>
        </w:rPr>
        <w:t>ом</w:t>
      </w:r>
      <w:r w:rsidRPr="002271C4"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z w:val="28"/>
          <w:szCs w:val="28"/>
        </w:rPr>
        <w:t>то же время в</w:t>
      </w:r>
      <w:r w:rsidRPr="002271C4">
        <w:rPr>
          <w:rFonts w:ascii="Times New Roman" w:hAnsi="Times New Roman"/>
          <w:sz w:val="28"/>
          <w:szCs w:val="28"/>
        </w:rPr>
        <w:t xml:space="preserve"> 2014-201</w:t>
      </w:r>
      <w:r>
        <w:rPr>
          <w:rFonts w:ascii="Times New Roman" w:hAnsi="Times New Roman"/>
          <w:sz w:val="28"/>
          <w:szCs w:val="28"/>
        </w:rPr>
        <w:t>9 годах сальдо внешней торговли России со странами АТР перешло в положительную область</w:t>
      </w:r>
      <w:r w:rsidR="00435A21">
        <w:rPr>
          <w:rFonts w:ascii="Times New Roman" w:hAnsi="Times New Roman"/>
          <w:sz w:val="28"/>
          <w:szCs w:val="28"/>
        </w:rPr>
        <w:t>, особенно сильные изменения произошли в 2018-2019 годах, когда сложилась тенденция быстрого</w:t>
      </w:r>
      <w:r w:rsidRPr="002271C4">
        <w:rPr>
          <w:rFonts w:ascii="Times New Roman" w:hAnsi="Times New Roman"/>
          <w:sz w:val="28"/>
          <w:szCs w:val="28"/>
        </w:rPr>
        <w:t xml:space="preserve"> наращивания объема поставок </w:t>
      </w:r>
      <w:r w:rsidR="00435A21">
        <w:rPr>
          <w:rFonts w:ascii="Times New Roman" w:hAnsi="Times New Roman"/>
          <w:sz w:val="28"/>
          <w:szCs w:val="28"/>
        </w:rPr>
        <w:t xml:space="preserve">российских </w:t>
      </w:r>
      <w:r w:rsidRPr="002271C4">
        <w:rPr>
          <w:rFonts w:ascii="Times New Roman" w:hAnsi="Times New Roman"/>
          <w:sz w:val="28"/>
          <w:szCs w:val="28"/>
        </w:rPr>
        <w:t>товаров в страны АТР.</w:t>
      </w:r>
    </w:p>
    <w:p w:rsidR="003516D2" w:rsidRDefault="003516D2" w:rsidP="008E7B71">
      <w:pPr>
        <w:ind w:right="-286"/>
        <w:jc w:val="center"/>
        <w:rPr>
          <w:sz w:val="28"/>
          <w:szCs w:val="28"/>
        </w:rPr>
      </w:pPr>
      <w:r w:rsidRPr="003516D2">
        <w:rPr>
          <w:noProof/>
          <w:sz w:val="28"/>
          <w:szCs w:val="28"/>
        </w:rPr>
        <w:drawing>
          <wp:inline distT="0" distB="0" distL="0" distR="0" wp14:anchorId="6997BEF9" wp14:editId="230E21B8">
            <wp:extent cx="5554638" cy="2715895"/>
            <wp:effectExtent l="0" t="0" r="0" b="8255"/>
            <wp:docPr id="9" name="Рисунок 8">
              <a:extLst xmlns:a="http://schemas.openxmlformats.org/drawingml/2006/main">
                <a:ext uri="{FF2B5EF4-FFF2-40B4-BE49-F238E27FC236}">
                  <a16:creationId xmlns:a16="http://schemas.microsoft.com/office/drawing/2014/main" id="{309D8B2C-3ADF-6D45-ADFF-F92FDDEF2B1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>
                      <a:extLst>
                        <a:ext uri="{FF2B5EF4-FFF2-40B4-BE49-F238E27FC236}">
                          <a16:creationId xmlns:a16="http://schemas.microsoft.com/office/drawing/2014/main" id="{309D8B2C-3ADF-6D45-ADFF-F92FDDEF2B11}"/>
                        </a:ext>
                      </a:extLst>
                    </pic:cNvPr>
                    <pic:cNvPicPr/>
                  </pic:nvPicPr>
                  <pic:blipFill rotWithShape="1">
                    <a:blip r:embed="rId9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 t="2769"/>
                    <a:stretch/>
                  </pic:blipFill>
                  <pic:spPr>
                    <a:xfrm>
                      <a:off x="0" y="0"/>
                      <a:ext cx="5556517" cy="2716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A21" w:rsidRPr="008E7B71" w:rsidRDefault="00435A21" w:rsidP="008E7B71">
      <w:pPr>
        <w:suppressAutoHyphens/>
        <w:jc w:val="center"/>
        <w:rPr>
          <w:color w:val="000000"/>
          <w:szCs w:val="28"/>
        </w:rPr>
      </w:pPr>
      <w:r w:rsidRPr="008E7B71">
        <w:rPr>
          <w:b/>
          <w:color w:val="000000"/>
          <w:szCs w:val="28"/>
        </w:rPr>
        <w:t>Рис.1.</w:t>
      </w:r>
      <w:r w:rsidRPr="008E7B71">
        <w:rPr>
          <w:color w:val="000000"/>
          <w:szCs w:val="28"/>
        </w:rPr>
        <w:t xml:space="preserve"> Сальдо внешней торговли России со странами АТР в 2010-2019 гг.</w:t>
      </w:r>
    </w:p>
    <w:p w:rsidR="000961EB" w:rsidRPr="001D5A9D" w:rsidRDefault="000961EB" w:rsidP="008E7B7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Российский экспорт более чем на 80% представлен металлами и минеральной продукцией, по которым Россия является международно-специализированной, их доля в валовом экспорте более чем в 3 раза превышает мировой уровень. На рис.2 представлены данные за 2019 год, в скобках для сравнения приведены значения за 2013 год.</w:t>
      </w:r>
    </w:p>
    <w:p w:rsidR="000961EB" w:rsidRPr="008E7B71" w:rsidRDefault="000961EB" w:rsidP="008E7B71">
      <w:pPr>
        <w:jc w:val="center"/>
        <w:rPr>
          <w:color w:val="000000"/>
          <w:szCs w:val="28"/>
        </w:rPr>
      </w:pPr>
      <w:r w:rsidRPr="007F4FDE">
        <w:rPr>
          <w:noProof/>
        </w:rPr>
        <w:drawing>
          <wp:inline distT="0" distB="0" distL="0" distR="0" wp14:anchorId="2B046877" wp14:editId="63286B74">
            <wp:extent cx="5772150" cy="2752725"/>
            <wp:effectExtent l="0" t="0" r="0" b="0"/>
            <wp:docPr id="52" name="Диаграмма 52">
              <a:extLst xmlns:a="http://schemas.openxmlformats.org/drawingml/2006/main">
                <a:ext uri="{FF2B5EF4-FFF2-40B4-BE49-F238E27FC236}">
                  <a16:creationId xmlns:a16="http://schemas.microsoft.com/office/drawing/2014/main" id="{BC144B9E-6C71-E044-BC7A-91EE4FAB1C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8E7B71">
        <w:rPr>
          <w:b/>
          <w:color w:val="000000"/>
          <w:szCs w:val="28"/>
        </w:rPr>
        <w:t xml:space="preserve">Рис.2 </w:t>
      </w:r>
      <w:r w:rsidRPr="008E7B71">
        <w:rPr>
          <w:color w:val="000000"/>
          <w:szCs w:val="28"/>
        </w:rPr>
        <w:t>Товарная структура экспорта России в страны АТР за 2019 г.</w:t>
      </w:r>
    </w:p>
    <w:p w:rsidR="000961EB" w:rsidRDefault="004F19B2" w:rsidP="008E7B7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</w:t>
      </w:r>
      <w:r w:rsidR="000961EB">
        <w:rPr>
          <w:rFonts w:ascii="Times New Roman" w:hAnsi="Times New Roman"/>
          <w:sz w:val="28"/>
        </w:rPr>
        <w:t xml:space="preserve">мпорт </w:t>
      </w:r>
      <w:r w:rsidR="000961EB" w:rsidRPr="000961EB">
        <w:rPr>
          <w:rFonts w:ascii="Times New Roman" w:hAnsi="Times New Roman"/>
          <w:sz w:val="28"/>
        </w:rPr>
        <w:t>(</w:t>
      </w:r>
      <w:r w:rsidR="000961EB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ис.3</w:t>
      </w:r>
      <w:r w:rsidR="000961EB">
        <w:rPr>
          <w:rFonts w:ascii="Times New Roman" w:hAnsi="Times New Roman"/>
          <w:sz w:val="28"/>
        </w:rPr>
        <w:t>) более чем на 50% формируется из ввоза машин, оборудования и транспортных средств, также более 10% приходятся на продукцию химической промышленности и текстиль, текстильные изделия.</w:t>
      </w:r>
    </w:p>
    <w:p w:rsidR="004F19B2" w:rsidRPr="004F19B2" w:rsidRDefault="004F19B2" w:rsidP="008E7B71">
      <w:pPr>
        <w:jc w:val="center"/>
        <w:rPr>
          <w:color w:val="000000"/>
          <w:sz w:val="28"/>
          <w:szCs w:val="28"/>
        </w:rPr>
      </w:pPr>
      <w:r w:rsidRPr="004F19B2">
        <w:rPr>
          <w:noProof/>
        </w:rPr>
        <w:drawing>
          <wp:inline distT="0" distB="0" distL="0" distR="0" wp14:anchorId="4329A299" wp14:editId="2F4F982B">
            <wp:extent cx="5686425" cy="2828925"/>
            <wp:effectExtent l="0" t="0" r="0" b="0"/>
            <wp:docPr id="53" name="Диаграмма 53">
              <a:extLst xmlns:a="http://schemas.openxmlformats.org/drawingml/2006/main">
                <a:ext uri="{FF2B5EF4-FFF2-40B4-BE49-F238E27FC236}">
                  <a16:creationId xmlns:a16="http://schemas.microsoft.com/office/drawing/2014/main" id="{DDB5D83D-7E38-244A-9E8E-AC7462BCCB1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F19B2" w:rsidRPr="008E7B71" w:rsidRDefault="004F19B2" w:rsidP="008E7B71">
      <w:pPr>
        <w:jc w:val="center"/>
        <w:rPr>
          <w:color w:val="000000"/>
          <w:szCs w:val="28"/>
        </w:rPr>
      </w:pPr>
      <w:r w:rsidRPr="008E7B71">
        <w:rPr>
          <w:b/>
          <w:color w:val="000000"/>
          <w:szCs w:val="28"/>
        </w:rPr>
        <w:t>Рис.3.</w:t>
      </w:r>
      <w:r w:rsidRPr="008E7B71">
        <w:rPr>
          <w:color w:val="000000"/>
          <w:szCs w:val="28"/>
        </w:rPr>
        <w:t xml:space="preserve"> Товарная структура импорта России из стран АТР за 2019 г.</w:t>
      </w:r>
    </w:p>
    <w:p w:rsidR="00083381" w:rsidRDefault="00305883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Построим</w:t>
      </w:r>
      <w:r w:rsidR="00EE6AF4" w:rsidRPr="00EE6AF4">
        <w:rPr>
          <w:sz w:val="28"/>
          <w:szCs w:val="28"/>
        </w:rPr>
        <w:t xml:space="preserve"> гравитационн</w:t>
      </w:r>
      <w:r w:rsidR="00083381">
        <w:rPr>
          <w:sz w:val="28"/>
          <w:szCs w:val="28"/>
        </w:rPr>
        <w:t xml:space="preserve">ые </w:t>
      </w:r>
      <w:r w:rsidR="00EE6AF4" w:rsidRPr="00EE6AF4">
        <w:rPr>
          <w:sz w:val="28"/>
          <w:szCs w:val="28"/>
        </w:rPr>
        <w:t>модел</w:t>
      </w:r>
      <w:r w:rsidR="00083381">
        <w:rPr>
          <w:sz w:val="28"/>
          <w:szCs w:val="28"/>
        </w:rPr>
        <w:t>и</w:t>
      </w:r>
      <w:r w:rsidR="00EE6AF4" w:rsidRPr="00EE6AF4">
        <w:rPr>
          <w:sz w:val="28"/>
          <w:szCs w:val="28"/>
        </w:rPr>
        <w:t xml:space="preserve"> </w:t>
      </w:r>
      <w:r w:rsidR="00083381">
        <w:rPr>
          <w:sz w:val="28"/>
          <w:szCs w:val="28"/>
        </w:rPr>
        <w:t>для экспорта и импорта России в 26 стран АТР</w:t>
      </w:r>
      <w:r w:rsidR="00EE6AF4" w:rsidRPr="00EE6AF4">
        <w:rPr>
          <w:sz w:val="28"/>
          <w:szCs w:val="28"/>
        </w:rPr>
        <w:t>.</w:t>
      </w:r>
      <w:r w:rsidR="00083381">
        <w:rPr>
          <w:sz w:val="28"/>
          <w:szCs w:val="28"/>
        </w:rPr>
        <w:t xml:space="preserve"> </w:t>
      </w:r>
      <w:r w:rsidR="006C2389">
        <w:rPr>
          <w:sz w:val="28"/>
          <w:szCs w:val="28"/>
        </w:rPr>
        <w:t xml:space="preserve">Расстояния между странами будем оценивать не традиционным способом между столицами (в этом случае значимость моделей сильно понижается), а между крупнейшими портами, расположенными на побережьях Тихого океана или максимально приближенными к нему, поскольку основная доля торговли идет морским путем. Для России таким портом был взят Владивосток. </w:t>
      </w:r>
      <w:r w:rsidR="00083381">
        <w:rPr>
          <w:sz w:val="28"/>
          <w:szCs w:val="28"/>
        </w:rPr>
        <w:t>Оцененные посредством МНК уравнения имеют вид</w:t>
      </w:r>
    </w:p>
    <w:tbl>
      <w:tblPr>
        <w:tblStyle w:val="ad"/>
        <w:tblW w:w="8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8"/>
      </w:tblGrid>
      <w:tr w:rsidR="00083381" w:rsidRPr="00C31244" w:rsidTr="00083381">
        <w:trPr>
          <w:trHeight w:val="592"/>
        </w:trPr>
        <w:tc>
          <w:tcPr>
            <w:tcW w:w="8738" w:type="dxa"/>
          </w:tcPr>
          <w:p w:rsidR="00083381" w:rsidRPr="00083381" w:rsidRDefault="00785800" w:rsidP="008E7B71">
            <w:pPr>
              <w:jc w:val="center"/>
              <w:rPr>
                <w:color w:val="000000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 xml:space="preserve">  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Ex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=11,52+0,91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-1,20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– для экспорта</m:t>
                </m:r>
              </m:oMath>
            </m:oMathPara>
          </w:p>
          <w:p w:rsidR="00083381" w:rsidRPr="00083381" w:rsidRDefault="00083381" w:rsidP="008E7B71">
            <w:pPr>
              <w:rPr>
                <w:color w:val="000000"/>
                <w:sz w:val="28"/>
                <w:szCs w:val="28"/>
              </w:rPr>
            </w:pPr>
            <w:r w:rsidRPr="00083381">
              <w:rPr>
                <w:color w:val="000000"/>
                <w:sz w:val="28"/>
                <w:szCs w:val="28"/>
              </w:rPr>
              <w:t xml:space="preserve">                          </w:t>
            </w:r>
            <w:r w:rsidR="005D0997">
              <w:rPr>
                <w:color w:val="000000"/>
                <w:sz w:val="28"/>
                <w:szCs w:val="28"/>
                <w:lang w:val="en-US"/>
              </w:rPr>
              <w:t xml:space="preserve">  </w:t>
            </w:r>
            <w:r w:rsidRPr="00083381">
              <w:rPr>
                <w:color w:val="000000"/>
                <w:sz w:val="28"/>
                <w:szCs w:val="28"/>
              </w:rPr>
              <w:t xml:space="preserve">  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(</w:t>
            </w:r>
            <w:r w:rsidRPr="00083381">
              <w:rPr>
                <w:color w:val="000000"/>
                <w:sz w:val="28"/>
                <w:szCs w:val="28"/>
              </w:rPr>
              <w:t>3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,</w:t>
            </w:r>
            <w:r w:rsidRPr="00083381">
              <w:rPr>
                <w:color w:val="000000"/>
                <w:sz w:val="28"/>
                <w:szCs w:val="28"/>
              </w:rPr>
              <w:t>82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)   (0,</w:t>
            </w:r>
            <w:r w:rsidRPr="00083381">
              <w:rPr>
                <w:color w:val="000000"/>
                <w:sz w:val="28"/>
                <w:szCs w:val="28"/>
              </w:rPr>
              <w:t>1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 xml:space="preserve">4)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 xml:space="preserve">  (0,</w:t>
            </w:r>
            <w:r w:rsidRPr="00083381">
              <w:rPr>
                <w:color w:val="000000"/>
                <w:sz w:val="28"/>
                <w:szCs w:val="28"/>
              </w:rPr>
              <w:t>35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83381" w:rsidRPr="00C31244" w:rsidTr="00083381">
        <w:trPr>
          <w:trHeight w:val="592"/>
        </w:trPr>
        <w:tc>
          <w:tcPr>
            <w:tcW w:w="8738" w:type="dxa"/>
          </w:tcPr>
          <w:p w:rsidR="00083381" w:rsidRPr="00083381" w:rsidRDefault="00785800" w:rsidP="008E7B71">
            <w:pPr>
              <w:jc w:val="center"/>
              <w:rPr>
                <w:color w:val="000000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Im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=3,77+1,10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-0,62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– для импорта</m:t>
                </m:r>
              </m:oMath>
            </m:oMathPara>
          </w:p>
          <w:p w:rsidR="00083381" w:rsidRPr="00083381" w:rsidRDefault="00083381" w:rsidP="008E7B71">
            <w:pPr>
              <w:rPr>
                <w:color w:val="000000"/>
                <w:sz w:val="28"/>
                <w:szCs w:val="28"/>
                <w:lang w:val="en-US"/>
              </w:rPr>
            </w:pPr>
            <w:r w:rsidRPr="00083381">
              <w:rPr>
                <w:color w:val="000000"/>
                <w:sz w:val="28"/>
                <w:szCs w:val="28"/>
              </w:rPr>
              <w:t xml:space="preserve">                            </w:t>
            </w:r>
            <w:r w:rsidR="005D099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(</w:t>
            </w:r>
            <w:r w:rsidRPr="00083381">
              <w:rPr>
                <w:color w:val="000000"/>
                <w:sz w:val="28"/>
                <w:szCs w:val="28"/>
              </w:rPr>
              <w:t>3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,</w:t>
            </w:r>
            <w:r w:rsidRPr="00083381">
              <w:rPr>
                <w:color w:val="000000"/>
                <w:sz w:val="28"/>
                <w:szCs w:val="28"/>
              </w:rPr>
              <w:t>36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 xml:space="preserve">)  </w:t>
            </w:r>
            <w:r w:rsidR="005D099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(0,</w:t>
            </w:r>
            <w:r w:rsidRPr="00083381">
              <w:rPr>
                <w:color w:val="000000"/>
                <w:sz w:val="28"/>
                <w:szCs w:val="28"/>
              </w:rPr>
              <w:t>12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 xml:space="preserve">)       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 xml:space="preserve"> (0,</w:t>
            </w:r>
            <w:r w:rsidRPr="00083381">
              <w:rPr>
                <w:color w:val="000000"/>
                <w:sz w:val="28"/>
                <w:szCs w:val="28"/>
              </w:rPr>
              <w:t>31</w:t>
            </w:r>
            <w:r w:rsidRPr="00083381"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EE6AF4" w:rsidRDefault="006C2389" w:rsidP="008E7B71">
      <w:pPr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высокую значимость, данная модель не учитывает факторов, способствующих или препятствующих торговле, кроме размера торгового партнера и расстояния до него. Исправим этот недостаток, дополнив</w:t>
      </w:r>
      <w:r w:rsidR="00EE6AF4" w:rsidRPr="00C31244">
        <w:rPr>
          <w:sz w:val="28"/>
          <w:szCs w:val="28"/>
        </w:rPr>
        <w:t xml:space="preserve"> модель </w:t>
      </w:r>
      <w:proofErr w:type="spellStart"/>
      <w:r w:rsidR="00EE6AF4" w:rsidRPr="00C31244">
        <w:rPr>
          <w:sz w:val="28"/>
          <w:szCs w:val="28"/>
        </w:rPr>
        <w:t>дамми</w:t>
      </w:r>
      <w:proofErr w:type="spellEnd"/>
      <w:r w:rsidR="00EE6AF4" w:rsidRPr="00C31244">
        <w:rPr>
          <w:sz w:val="28"/>
          <w:szCs w:val="28"/>
        </w:rPr>
        <w:t>-переменн</w:t>
      </w:r>
      <w:r>
        <w:rPr>
          <w:sz w:val="28"/>
          <w:szCs w:val="28"/>
        </w:rPr>
        <w:t>ыми</w:t>
      </w:r>
      <w:r w:rsidR="00EE6AF4" w:rsidRPr="00C31244">
        <w:rPr>
          <w:sz w:val="28"/>
          <w:szCs w:val="28"/>
        </w:rPr>
        <w:t xml:space="preserve"> </w:t>
      </w:r>
      <w:proofErr w:type="spellStart"/>
      <w:r w:rsidR="005D0997" w:rsidRPr="005D0997">
        <w:rPr>
          <w:i/>
          <w:sz w:val="28"/>
          <w:szCs w:val="28"/>
          <w:lang w:val="en-US"/>
        </w:rPr>
        <w:t>B</w:t>
      </w:r>
      <w:r w:rsidR="005D0997" w:rsidRPr="005D0997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="005D0997" w:rsidRPr="005D0997">
        <w:rPr>
          <w:sz w:val="28"/>
          <w:szCs w:val="28"/>
        </w:rPr>
        <w:t xml:space="preserve"> </w:t>
      </w:r>
      <w:r w:rsidR="005D0997">
        <w:rPr>
          <w:sz w:val="28"/>
          <w:szCs w:val="28"/>
        </w:rPr>
        <w:t>и</w:t>
      </w:r>
      <w:r w:rsidR="005D0997" w:rsidRPr="005D0997">
        <w:rPr>
          <w:sz w:val="28"/>
          <w:szCs w:val="28"/>
        </w:rPr>
        <w:t xml:space="preserve"> </w:t>
      </w:r>
      <w:proofErr w:type="spellStart"/>
      <w:r w:rsidR="005D0997" w:rsidRPr="005D0997">
        <w:rPr>
          <w:i/>
          <w:sz w:val="28"/>
          <w:szCs w:val="28"/>
          <w:lang w:val="en-US"/>
        </w:rPr>
        <w:t>S</w:t>
      </w:r>
      <w:r w:rsidR="005D0997" w:rsidRPr="005D0997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="005D0997">
        <w:rPr>
          <w:sz w:val="28"/>
          <w:szCs w:val="28"/>
        </w:rPr>
        <w:t>,</w:t>
      </w:r>
      <w:r w:rsidR="005D0997" w:rsidRPr="005D09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которые принимают единичное значение для </w:t>
      </w:r>
      <w:r w:rsidR="00EE6AF4" w:rsidRPr="00C31244">
        <w:rPr>
          <w:sz w:val="28"/>
          <w:szCs w:val="28"/>
        </w:rPr>
        <w:t xml:space="preserve">стран, у которых есть сухопутная </w:t>
      </w:r>
      <w:r>
        <w:rPr>
          <w:sz w:val="28"/>
          <w:szCs w:val="28"/>
        </w:rPr>
        <w:t xml:space="preserve">или морская </w:t>
      </w:r>
      <w:r w:rsidR="00EE6AF4" w:rsidRPr="00C31244">
        <w:rPr>
          <w:sz w:val="28"/>
          <w:szCs w:val="28"/>
        </w:rPr>
        <w:t>граница</w:t>
      </w:r>
      <w:r w:rsidR="005D0997">
        <w:rPr>
          <w:sz w:val="28"/>
          <w:szCs w:val="28"/>
        </w:rPr>
        <w:t xml:space="preserve">, а также </w:t>
      </w:r>
      <w:proofErr w:type="spellStart"/>
      <w:r w:rsidR="005D0997" w:rsidRPr="005D0997">
        <w:rPr>
          <w:i/>
          <w:sz w:val="28"/>
          <w:szCs w:val="28"/>
          <w:lang w:val="en-US"/>
        </w:rPr>
        <w:t>A</w:t>
      </w:r>
      <w:r w:rsidR="005D0997" w:rsidRPr="005D0997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="005D0997" w:rsidRPr="00C31244">
        <w:rPr>
          <w:sz w:val="28"/>
          <w:szCs w:val="28"/>
        </w:rPr>
        <w:t>, равную единице для стран, которые входят в АТЭС</w:t>
      </w:r>
      <w:r w:rsidR="00EE6AF4">
        <w:rPr>
          <w:sz w:val="28"/>
          <w:szCs w:val="28"/>
        </w:rPr>
        <w:t>.</w:t>
      </w:r>
    </w:p>
    <w:p w:rsidR="005D0997" w:rsidRPr="00C31244" w:rsidRDefault="005D0997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экспорта оцененные модели имеют вид</w:t>
      </w:r>
    </w:p>
    <w:tbl>
      <w:tblPr>
        <w:tblStyle w:val="ad"/>
        <w:tblW w:w="8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8"/>
      </w:tblGrid>
      <w:tr w:rsidR="006C2389" w:rsidRPr="00C31244" w:rsidTr="00DB7732">
        <w:trPr>
          <w:trHeight w:val="592"/>
        </w:trPr>
        <w:tc>
          <w:tcPr>
            <w:tcW w:w="8738" w:type="dxa"/>
          </w:tcPr>
          <w:p w:rsidR="006C2389" w:rsidRPr="00A537B8" w:rsidRDefault="00785800" w:rsidP="008E7B71">
            <w:pPr>
              <w:rPr>
                <w:color w:val="000000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Ex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=8,99+0,91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-0,93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+1,80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,</m:t>
                </m:r>
              </m:oMath>
            </m:oMathPara>
          </w:p>
          <w:p w:rsidR="006C2389" w:rsidRPr="00226271" w:rsidRDefault="006C2389" w:rsidP="008E7B71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5D0997">
              <w:rPr>
                <w:color w:val="000000"/>
                <w:sz w:val="28"/>
                <w:szCs w:val="28"/>
                <w:lang w:val="en-US"/>
              </w:rPr>
              <w:t xml:space="preserve">               </w:t>
            </w:r>
            <w:r>
              <w:rPr>
                <w:color w:val="000000"/>
                <w:sz w:val="28"/>
                <w:szCs w:val="28"/>
              </w:rPr>
              <w:t xml:space="preserve">      </w:t>
            </w:r>
            <w:r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</w:rPr>
              <w:t>3</w:t>
            </w:r>
            <w:r w:rsidR="005D0997">
              <w:rPr>
                <w:color w:val="000000"/>
                <w:sz w:val="28"/>
                <w:szCs w:val="28"/>
                <w:lang w:val="en-US"/>
              </w:rPr>
              <w:t>,76)   (</w:t>
            </w:r>
            <w:r>
              <w:rPr>
                <w:color w:val="000000"/>
                <w:sz w:val="28"/>
                <w:szCs w:val="28"/>
                <w:lang w:val="en-US"/>
              </w:rPr>
              <w:t>0,</w:t>
            </w:r>
            <w:r>
              <w:rPr>
                <w:color w:val="000000"/>
                <w:sz w:val="28"/>
                <w:szCs w:val="28"/>
              </w:rPr>
              <w:t>13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)     </w:t>
            </w:r>
            <w:r w:rsidR="005D0997">
              <w:rPr>
                <w:color w:val="000000"/>
                <w:sz w:val="28"/>
                <w:szCs w:val="28"/>
                <w:lang w:val="en-US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   (0,</w:t>
            </w:r>
            <w:r>
              <w:rPr>
                <w:color w:val="000000"/>
                <w:sz w:val="28"/>
                <w:szCs w:val="28"/>
              </w:rPr>
              <w:t>35</w:t>
            </w:r>
            <w:r>
              <w:rPr>
                <w:color w:val="000000"/>
                <w:sz w:val="28"/>
                <w:szCs w:val="28"/>
                <w:lang w:val="en-US"/>
              </w:rPr>
              <w:t>)           (0,86)</w:t>
            </w:r>
          </w:p>
        </w:tc>
      </w:tr>
      <w:tr w:rsidR="005D0997" w:rsidRPr="00C31244" w:rsidTr="00DB7732">
        <w:trPr>
          <w:trHeight w:val="592"/>
        </w:trPr>
        <w:tc>
          <w:tcPr>
            <w:tcW w:w="8738" w:type="dxa"/>
          </w:tcPr>
          <w:p w:rsidR="005D0997" w:rsidRPr="00A537B8" w:rsidRDefault="00785800" w:rsidP="008E7B71">
            <w:pPr>
              <w:jc w:val="center"/>
              <w:rPr>
                <w:color w:val="000000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Ex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=9,66+0,85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-0,92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+1,89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+0,83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 xml:space="preserve"> 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,</m:t>
                </m:r>
              </m:oMath>
            </m:oMathPara>
          </w:p>
          <w:p w:rsidR="005D0997" w:rsidRPr="00226271" w:rsidRDefault="005D0997" w:rsidP="008E7B71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color w:val="000000"/>
                <w:sz w:val="28"/>
                <w:szCs w:val="28"/>
              </w:rPr>
              <w:t>84</w:t>
            </w:r>
            <w:r>
              <w:rPr>
                <w:color w:val="000000"/>
                <w:sz w:val="28"/>
                <w:szCs w:val="28"/>
                <w:lang w:val="en-US"/>
              </w:rPr>
              <w:t>)   (0,</w:t>
            </w:r>
            <w:r>
              <w:rPr>
                <w:color w:val="000000"/>
                <w:sz w:val="28"/>
                <w:szCs w:val="28"/>
              </w:rPr>
              <w:t>15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)    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en-US"/>
              </w:rPr>
              <w:t>(0,</w:t>
            </w:r>
            <w:r>
              <w:rPr>
                <w:color w:val="000000"/>
                <w:sz w:val="28"/>
                <w:szCs w:val="28"/>
              </w:rPr>
              <w:t>35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)           (0,86)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(0,89)</w:t>
            </w:r>
          </w:p>
        </w:tc>
      </w:tr>
      <w:tr w:rsidR="005D0997" w:rsidRPr="00C31244" w:rsidTr="00DB7732">
        <w:trPr>
          <w:trHeight w:val="592"/>
        </w:trPr>
        <w:tc>
          <w:tcPr>
            <w:tcW w:w="8738" w:type="dxa"/>
          </w:tcPr>
          <w:p w:rsidR="005D0997" w:rsidRPr="00A537B8" w:rsidRDefault="00785800" w:rsidP="008E7B71">
            <w:pPr>
              <w:jc w:val="center"/>
              <w:rPr>
                <w:color w:val="000000"/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 xml:space="preserve">   ln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Ex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func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=9,79+0,79 ln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-0,87 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ln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+2,03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+0,85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+0,46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 xml:space="preserve"> 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oMath>
            <w:r w:rsidR="00DB7732" w:rsidRPr="00DB7732">
              <w:rPr>
                <w:color w:val="000000"/>
                <w:sz w:val="28"/>
                <w:szCs w:val="28"/>
              </w:rPr>
              <w:t>.</w:t>
            </w:r>
          </w:p>
          <w:p w:rsidR="005D0997" w:rsidRPr="00226271" w:rsidRDefault="005D0997" w:rsidP="008E7B71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Pr="00DB7732"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  <w:lang w:val="en-US"/>
              </w:rPr>
              <w:t>6)   (0,</w:t>
            </w: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6)    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en-US"/>
              </w:rPr>
              <w:t>(0,</w:t>
            </w: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6)           (0,88)    </w:t>
            </w:r>
            <w:r>
              <w:rPr>
                <w:color w:val="000000"/>
                <w:sz w:val="28"/>
                <w:szCs w:val="28"/>
              </w:rPr>
              <w:t xml:space="preserve">   (0,</w:t>
            </w:r>
            <w:r>
              <w:rPr>
                <w:color w:val="000000"/>
                <w:sz w:val="28"/>
                <w:szCs w:val="28"/>
                <w:lang w:val="en-US"/>
              </w:rPr>
              <w:t>90</w:t>
            </w:r>
            <w:r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     (0,53)</w:t>
            </w:r>
          </w:p>
        </w:tc>
      </w:tr>
    </w:tbl>
    <w:p w:rsidR="00DB7732" w:rsidRPr="00DB7732" w:rsidRDefault="00DB7732" w:rsidP="008E7B7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Аналогично, модели для российского импорта выглядят как</w:t>
      </w:r>
    </w:p>
    <w:tbl>
      <w:tblPr>
        <w:tblStyle w:val="ad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DB7732" w:rsidRPr="00304A6C" w:rsidTr="00DB7732">
        <w:trPr>
          <w:trHeight w:val="564"/>
        </w:trPr>
        <w:tc>
          <w:tcPr>
            <w:tcW w:w="8789" w:type="dxa"/>
          </w:tcPr>
          <w:p w:rsidR="00DB7732" w:rsidRPr="00DB7732" w:rsidRDefault="00785800" w:rsidP="008E7B71">
            <w:pPr>
              <w:rPr>
                <w:i/>
                <w:color w:val="000000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Im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=3,93+1,10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-0,63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-0,11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,</m:t>
                </m:r>
              </m:oMath>
            </m:oMathPara>
          </w:p>
          <w:p w:rsidR="00DB7732" w:rsidRPr="00304A6C" w:rsidRDefault="00DB7732" w:rsidP="008E7B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         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color w:val="000000"/>
                <w:sz w:val="28"/>
                <w:szCs w:val="28"/>
              </w:rPr>
              <w:t>62</w:t>
            </w:r>
            <w:r>
              <w:rPr>
                <w:color w:val="000000"/>
                <w:sz w:val="28"/>
                <w:szCs w:val="28"/>
                <w:lang w:val="en-US"/>
              </w:rPr>
              <w:t>)   (0,</w:t>
            </w:r>
            <w:r>
              <w:rPr>
                <w:color w:val="000000"/>
                <w:sz w:val="28"/>
                <w:szCs w:val="28"/>
              </w:rPr>
              <w:t>13</w:t>
            </w:r>
            <w:r>
              <w:rPr>
                <w:color w:val="000000"/>
                <w:sz w:val="28"/>
                <w:szCs w:val="28"/>
                <w:lang w:val="en-US"/>
              </w:rPr>
              <w:t>)            (0,</w:t>
            </w:r>
            <w:r>
              <w:rPr>
                <w:color w:val="000000"/>
                <w:sz w:val="28"/>
                <w:szCs w:val="28"/>
              </w:rPr>
              <w:t>34</w:t>
            </w:r>
            <w:r>
              <w:rPr>
                <w:color w:val="000000"/>
                <w:sz w:val="28"/>
                <w:szCs w:val="28"/>
                <w:lang w:val="en-US"/>
              </w:rPr>
              <w:t>)          (0,8</w:t>
            </w: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B7732" w:rsidRPr="00226271" w:rsidTr="00DB7732">
        <w:trPr>
          <w:trHeight w:val="592"/>
        </w:trPr>
        <w:tc>
          <w:tcPr>
            <w:tcW w:w="8789" w:type="dxa"/>
          </w:tcPr>
          <w:p w:rsidR="00DB7732" w:rsidRPr="00A537B8" w:rsidRDefault="00785800" w:rsidP="008E7B71">
            <w:pPr>
              <w:jc w:val="center"/>
              <w:rPr>
                <w:color w:val="000000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Im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=3,86+1,10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-0,63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-0,12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+0,08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 xml:space="preserve"> 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,</m:t>
                </m:r>
              </m:oMath>
            </m:oMathPara>
          </w:p>
          <w:p w:rsidR="00DB7732" w:rsidRPr="00226271" w:rsidRDefault="00DB7732" w:rsidP="008E7B71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 xml:space="preserve">       </w:t>
            </w:r>
            <w:r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color w:val="000000"/>
                <w:sz w:val="28"/>
                <w:szCs w:val="28"/>
              </w:rPr>
              <w:t>77</w:t>
            </w:r>
            <w:r>
              <w:rPr>
                <w:color w:val="000000"/>
                <w:sz w:val="28"/>
                <w:szCs w:val="28"/>
                <w:lang w:val="en-US"/>
              </w:rPr>
              <w:t>)    (0,</w:t>
            </w:r>
            <w:r>
              <w:rPr>
                <w:color w:val="000000"/>
                <w:sz w:val="28"/>
                <w:szCs w:val="28"/>
              </w:rPr>
              <w:t>14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)    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en-US"/>
              </w:rPr>
              <w:t>(0,</w:t>
            </w:r>
            <w:r>
              <w:rPr>
                <w:color w:val="000000"/>
                <w:sz w:val="28"/>
                <w:szCs w:val="28"/>
              </w:rPr>
              <w:t>35</w:t>
            </w:r>
            <w:r>
              <w:rPr>
                <w:color w:val="000000"/>
                <w:sz w:val="28"/>
                <w:szCs w:val="28"/>
                <w:lang w:val="en-US"/>
              </w:rPr>
              <w:t>)           (0,8</w:t>
            </w:r>
            <w:r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)    </w:t>
            </w:r>
            <w:r>
              <w:rPr>
                <w:color w:val="000000"/>
                <w:sz w:val="28"/>
                <w:szCs w:val="28"/>
              </w:rPr>
              <w:t xml:space="preserve">   (0,88)</w:t>
            </w:r>
          </w:p>
        </w:tc>
      </w:tr>
      <w:tr w:rsidR="00DB7732" w:rsidRPr="00142124" w:rsidTr="00DB7732">
        <w:trPr>
          <w:trHeight w:val="556"/>
        </w:trPr>
        <w:tc>
          <w:tcPr>
            <w:tcW w:w="8789" w:type="dxa"/>
          </w:tcPr>
          <w:p w:rsidR="00DB7732" w:rsidRPr="00142124" w:rsidRDefault="00785800" w:rsidP="008E7B71">
            <w:pPr>
              <w:jc w:val="center"/>
              <w:rPr>
                <w:color w:val="000000" w:themeColor="text1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Im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=4,11+0,98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 xml:space="preserve">-0,54 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 xml:space="preserve">+0,13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-0,04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+0,84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  <w:p w:rsidR="00DB7732" w:rsidRPr="00142124" w:rsidRDefault="00DB7732" w:rsidP="008E7B71">
            <w:pPr>
              <w:rPr>
                <w:color w:val="000000" w:themeColor="text1"/>
                <w:sz w:val="28"/>
                <w:szCs w:val="28"/>
              </w:rPr>
            </w:pPr>
            <w:r w:rsidRPr="00142124">
              <w:rPr>
                <w:color w:val="000000" w:themeColor="text1"/>
                <w:sz w:val="28"/>
                <w:szCs w:val="28"/>
              </w:rPr>
              <w:t xml:space="preserve">             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4212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>(</w:t>
            </w:r>
            <w:r w:rsidRPr="00142124">
              <w:rPr>
                <w:color w:val="000000" w:themeColor="text1"/>
                <w:sz w:val="28"/>
                <w:szCs w:val="28"/>
              </w:rPr>
              <w:t>3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Pr="00142124">
              <w:rPr>
                <w:color w:val="000000" w:themeColor="text1"/>
                <w:sz w:val="28"/>
                <w:szCs w:val="28"/>
              </w:rPr>
              <w:t>61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>)   (0,</w:t>
            </w:r>
            <w:r w:rsidRPr="00142124">
              <w:rPr>
                <w:color w:val="000000" w:themeColor="text1"/>
                <w:sz w:val="28"/>
                <w:szCs w:val="28"/>
              </w:rPr>
              <w:t>15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 xml:space="preserve">)         </w:t>
            </w:r>
            <w:r w:rsidRPr="00142124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>(0,</w:t>
            </w:r>
            <w:r w:rsidRPr="00142124">
              <w:rPr>
                <w:color w:val="000000" w:themeColor="text1"/>
                <w:sz w:val="28"/>
                <w:szCs w:val="28"/>
              </w:rPr>
              <w:t>34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>)           (0,8</w:t>
            </w:r>
            <w:r w:rsidRPr="00142124">
              <w:rPr>
                <w:color w:val="000000" w:themeColor="text1"/>
                <w:sz w:val="28"/>
                <w:szCs w:val="28"/>
              </w:rPr>
              <w:t>3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 xml:space="preserve">)    </w:t>
            </w:r>
            <w:r w:rsidRPr="00142124">
              <w:rPr>
                <w:color w:val="000000" w:themeColor="text1"/>
                <w:sz w:val="28"/>
                <w:szCs w:val="28"/>
              </w:rPr>
              <w:t xml:space="preserve">   (0,84)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 xml:space="preserve">       (0,</w:t>
            </w:r>
            <w:r w:rsidRPr="00142124">
              <w:rPr>
                <w:color w:val="000000" w:themeColor="text1"/>
                <w:sz w:val="28"/>
                <w:szCs w:val="28"/>
              </w:rPr>
              <w:t>49</w:t>
            </w:r>
            <w:r w:rsidRPr="00142124">
              <w:rPr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:rsidR="000320DA" w:rsidRDefault="003A25FF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E6AF4" w:rsidRPr="00C31244">
        <w:rPr>
          <w:sz w:val="28"/>
          <w:szCs w:val="28"/>
        </w:rPr>
        <w:t>асстояние и ВВП стали иметь еще меньшую роль</w:t>
      </w:r>
      <w:r w:rsidR="00EE6AF4">
        <w:rPr>
          <w:sz w:val="28"/>
          <w:szCs w:val="28"/>
        </w:rPr>
        <w:t xml:space="preserve">. </w:t>
      </w:r>
      <w:r w:rsidR="000320DA">
        <w:rPr>
          <w:sz w:val="28"/>
          <w:szCs w:val="28"/>
        </w:rPr>
        <w:t>Эластичность</w:t>
      </w:r>
      <w:r w:rsidR="00EE6AF4">
        <w:rPr>
          <w:sz w:val="28"/>
          <w:szCs w:val="28"/>
        </w:rPr>
        <w:t xml:space="preserve"> п</w:t>
      </w:r>
      <w:r w:rsidR="000320DA">
        <w:rPr>
          <w:sz w:val="28"/>
          <w:szCs w:val="28"/>
        </w:rPr>
        <w:t>о</w:t>
      </w:r>
      <w:r w:rsidR="00EE6AF4">
        <w:rPr>
          <w:sz w:val="28"/>
          <w:szCs w:val="28"/>
        </w:rPr>
        <w:t xml:space="preserve"> расстояни</w:t>
      </w:r>
      <w:r w:rsidR="000320DA">
        <w:rPr>
          <w:sz w:val="28"/>
          <w:szCs w:val="28"/>
        </w:rPr>
        <w:t>ю, особенно для импорта</w:t>
      </w:r>
      <w:r w:rsidR="000320DA" w:rsidRPr="000320DA">
        <w:rPr>
          <w:sz w:val="28"/>
          <w:szCs w:val="28"/>
        </w:rPr>
        <w:t>,</w:t>
      </w:r>
      <w:r w:rsidR="000320DA">
        <w:rPr>
          <w:sz w:val="28"/>
          <w:szCs w:val="28"/>
        </w:rPr>
        <w:t xml:space="preserve"> оказывается </w:t>
      </w:r>
      <w:r w:rsidR="00EE6AF4">
        <w:rPr>
          <w:sz w:val="28"/>
          <w:szCs w:val="28"/>
        </w:rPr>
        <w:t xml:space="preserve">существенно ниже </w:t>
      </w:r>
      <w:r w:rsidR="000320DA">
        <w:rPr>
          <w:sz w:val="28"/>
          <w:szCs w:val="28"/>
        </w:rPr>
        <w:t>средних</w:t>
      </w:r>
      <w:r w:rsidR="00EE6AF4">
        <w:rPr>
          <w:sz w:val="28"/>
          <w:szCs w:val="28"/>
        </w:rPr>
        <w:t xml:space="preserve"> </w:t>
      </w:r>
      <w:r w:rsidR="000320DA">
        <w:rPr>
          <w:sz w:val="28"/>
          <w:szCs w:val="28"/>
        </w:rPr>
        <w:t>(</w:t>
      </w:r>
      <w:r w:rsidR="000320DA" w:rsidRPr="000320DA">
        <w:rPr>
          <w:sz w:val="28"/>
          <w:szCs w:val="28"/>
        </w:rPr>
        <w:t>–0</w:t>
      </w:r>
      <w:r w:rsidR="000320DA">
        <w:rPr>
          <w:sz w:val="28"/>
          <w:szCs w:val="28"/>
        </w:rPr>
        <w:t>,</w:t>
      </w:r>
      <w:r w:rsidR="000320DA" w:rsidRPr="000320DA">
        <w:rPr>
          <w:sz w:val="28"/>
          <w:szCs w:val="28"/>
        </w:rPr>
        <w:t>93</w:t>
      </w:r>
      <w:r w:rsidR="000320DA">
        <w:rPr>
          <w:sz w:val="28"/>
          <w:szCs w:val="28"/>
        </w:rPr>
        <w:t>) и медианных (</w:t>
      </w:r>
      <w:r w:rsidR="000320DA" w:rsidRPr="000320DA">
        <w:rPr>
          <w:sz w:val="28"/>
          <w:szCs w:val="28"/>
        </w:rPr>
        <w:t>–0</w:t>
      </w:r>
      <w:r w:rsidR="000320DA">
        <w:rPr>
          <w:sz w:val="28"/>
          <w:szCs w:val="28"/>
        </w:rPr>
        <w:t xml:space="preserve">,89) </w:t>
      </w:r>
      <w:r w:rsidR="00EE6AF4">
        <w:rPr>
          <w:sz w:val="28"/>
          <w:szCs w:val="28"/>
        </w:rPr>
        <w:t>значений</w:t>
      </w:r>
      <w:r w:rsidR="000320DA">
        <w:rPr>
          <w:sz w:val="28"/>
          <w:szCs w:val="28"/>
        </w:rPr>
        <w:t xml:space="preserve">, рассчитанных на данных разных стран и регионов </w:t>
      </w:r>
      <w:r w:rsidR="000320DA" w:rsidRPr="000320DA">
        <w:rPr>
          <w:sz w:val="28"/>
          <w:szCs w:val="28"/>
        </w:rPr>
        <w:t xml:space="preserve">[16] </w:t>
      </w:r>
      <w:r w:rsidR="000320DA">
        <w:rPr>
          <w:sz w:val="28"/>
          <w:szCs w:val="28"/>
        </w:rPr>
        <w:t xml:space="preserve">и тем более ниже российского значения </w:t>
      </w:r>
      <w:r w:rsidR="000320DA" w:rsidRPr="000320DA">
        <w:rPr>
          <w:sz w:val="28"/>
          <w:szCs w:val="28"/>
        </w:rPr>
        <w:t>–</w:t>
      </w:r>
      <w:r w:rsidR="000320DA">
        <w:rPr>
          <w:sz w:val="28"/>
          <w:szCs w:val="28"/>
        </w:rPr>
        <w:t>1,3</w:t>
      </w:r>
      <w:r w:rsidR="000320DA" w:rsidRPr="000320DA">
        <w:rPr>
          <w:sz w:val="28"/>
          <w:szCs w:val="28"/>
        </w:rPr>
        <w:t>3</w:t>
      </w:r>
      <w:r w:rsidR="000320DA">
        <w:rPr>
          <w:sz w:val="28"/>
          <w:szCs w:val="28"/>
        </w:rPr>
        <w:t xml:space="preserve"> </w:t>
      </w:r>
      <w:r w:rsidR="000320DA" w:rsidRPr="000320DA">
        <w:rPr>
          <w:sz w:val="28"/>
          <w:szCs w:val="28"/>
        </w:rPr>
        <w:t xml:space="preserve">[17]. </w:t>
      </w:r>
      <w:r w:rsidR="000320DA">
        <w:rPr>
          <w:sz w:val="28"/>
          <w:szCs w:val="28"/>
        </w:rPr>
        <w:t xml:space="preserve">Это </w:t>
      </w:r>
      <w:r w:rsidR="000320DA" w:rsidRPr="000320DA">
        <w:rPr>
          <w:sz w:val="28"/>
          <w:szCs w:val="28"/>
        </w:rPr>
        <w:t>объясняется более низкими для мор</w:t>
      </w:r>
      <w:r w:rsidR="000320DA">
        <w:rPr>
          <w:sz w:val="28"/>
          <w:szCs w:val="28"/>
        </w:rPr>
        <w:t>ских перевозок транспортными издержками</w:t>
      </w:r>
      <w:r w:rsidR="000831C2">
        <w:rPr>
          <w:sz w:val="28"/>
          <w:szCs w:val="28"/>
        </w:rPr>
        <w:t xml:space="preserve"> и необходимостью импортировать высокотехнологичные товары вне зависимости от места их производства</w:t>
      </w:r>
      <w:r w:rsidR="000320DA" w:rsidRPr="000320DA">
        <w:rPr>
          <w:sz w:val="28"/>
          <w:szCs w:val="28"/>
        </w:rPr>
        <w:t>.</w:t>
      </w:r>
    </w:p>
    <w:p w:rsidR="000320DA" w:rsidRDefault="003A25FF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Одновременно с этим </w:t>
      </w:r>
      <w:r w:rsidR="000320DA">
        <w:rPr>
          <w:sz w:val="28"/>
          <w:szCs w:val="28"/>
        </w:rPr>
        <w:t xml:space="preserve">модель показывает, что российский экспорт значимо </w:t>
      </w:r>
      <w:r w:rsidR="005E26FB">
        <w:rPr>
          <w:sz w:val="28"/>
          <w:szCs w:val="28"/>
        </w:rPr>
        <w:t>больше в страны, с которыми Россия имеет общую сухопутную границу. Д</w:t>
      </w:r>
      <w:r w:rsidR="000320DA" w:rsidRPr="000320DA">
        <w:rPr>
          <w:sz w:val="28"/>
          <w:szCs w:val="28"/>
        </w:rPr>
        <w:t xml:space="preserve">ля импорта </w:t>
      </w:r>
      <w:r w:rsidR="005E26FB">
        <w:rPr>
          <w:sz w:val="28"/>
          <w:szCs w:val="28"/>
        </w:rPr>
        <w:t>положительно значимо вхождение постав</w:t>
      </w:r>
      <w:r w:rsidR="000320DA" w:rsidRPr="000320DA">
        <w:rPr>
          <w:sz w:val="28"/>
          <w:szCs w:val="28"/>
        </w:rPr>
        <w:t>щика в состав АТЭС</w:t>
      </w:r>
      <w:r w:rsidR="005E26FB">
        <w:rPr>
          <w:sz w:val="28"/>
          <w:szCs w:val="28"/>
        </w:rPr>
        <w:t xml:space="preserve"> (впрочем, в эту организацию входит большинство развитых стран, откуда Россия импортирует высокотехнологичные товары)</w:t>
      </w:r>
      <w:r w:rsidR="000320DA" w:rsidRPr="000320DA">
        <w:rPr>
          <w:sz w:val="28"/>
          <w:szCs w:val="28"/>
        </w:rPr>
        <w:t>.</w:t>
      </w:r>
    </w:p>
    <w:p w:rsidR="005E26FB" w:rsidRPr="000320DA" w:rsidRDefault="005E26FB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блок работы связан с построением комплексной гравитационной модели торговли стран АТР на всех 870 наблюдениях (из рассмотрения с целью уменьшения шума были исключены </w:t>
      </w:r>
      <w:r w:rsidR="000831C2">
        <w:rPr>
          <w:sz w:val="28"/>
          <w:szCs w:val="28"/>
        </w:rPr>
        <w:t>малые</w:t>
      </w:r>
      <w:r>
        <w:rPr>
          <w:sz w:val="28"/>
          <w:szCs w:val="28"/>
        </w:rPr>
        <w:t xml:space="preserve"> островные государства).</w:t>
      </w:r>
      <w:r w:rsidR="00FA345A">
        <w:rPr>
          <w:sz w:val="28"/>
          <w:szCs w:val="28"/>
        </w:rPr>
        <w:t xml:space="preserve"> В базовом варианте ее лог-линейная форма выглядит следующим образом:</w:t>
      </w:r>
    </w:p>
    <w:tbl>
      <w:tblPr>
        <w:tblStyle w:val="ad"/>
        <w:tblW w:w="8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8"/>
      </w:tblGrid>
      <w:tr w:rsidR="00FA345A" w:rsidRPr="00C31244" w:rsidTr="00FA345A">
        <w:trPr>
          <w:trHeight w:val="592"/>
        </w:trPr>
        <w:tc>
          <w:tcPr>
            <w:tcW w:w="8738" w:type="dxa"/>
          </w:tcPr>
          <w:p w:rsidR="00FA345A" w:rsidRPr="00304A6C" w:rsidRDefault="00785800" w:rsidP="008E7B71">
            <w:pPr>
              <w:jc w:val="center"/>
              <w:rPr>
                <w:color w:val="000000"/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=-4,46+1,43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+1, 21 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-0,89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ln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ij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 </m:t>
                </m:r>
              </m:oMath>
            </m:oMathPara>
          </w:p>
          <w:p w:rsidR="00FA345A" w:rsidRPr="00304A6C" w:rsidRDefault="00FA345A" w:rsidP="008E7B7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           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            (0,81)    (0,04) 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  (0,04)            (0,09)</w:t>
            </w:r>
          </w:p>
        </w:tc>
      </w:tr>
    </w:tbl>
    <w:p w:rsidR="005E26FB" w:rsidRPr="00FA345A" w:rsidRDefault="00FA345A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 же время данная модели может быть подкорректирована с учетом ряда дополнительных факторов. Как и в случае модели для внешней торговли России</w:t>
      </w:r>
      <w:r w:rsidR="005E26FB" w:rsidRPr="00C312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можно попытаться учесть наличие между торгующими странами общей сухопутной </w:t>
      </w:r>
      <w:r w:rsidRPr="00FA345A">
        <w:rPr>
          <w:i/>
          <w:sz w:val="28"/>
          <w:szCs w:val="28"/>
          <w:lang w:val="en-US"/>
        </w:rPr>
        <w:t>B</w:t>
      </w:r>
      <w:r w:rsidRPr="00FA345A">
        <w:rPr>
          <w:i/>
          <w:sz w:val="28"/>
          <w:szCs w:val="28"/>
          <w:vertAlign w:val="subscript"/>
          <w:lang w:val="en-US"/>
        </w:rPr>
        <w:t>ij</w:t>
      </w:r>
      <w:r w:rsidRPr="00FA3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морской </w:t>
      </w:r>
      <w:r w:rsidRPr="00FA345A">
        <w:rPr>
          <w:i/>
          <w:sz w:val="28"/>
          <w:szCs w:val="28"/>
          <w:lang w:val="en-US"/>
        </w:rPr>
        <w:t>S</w:t>
      </w:r>
      <w:r w:rsidRPr="00FA345A">
        <w:rPr>
          <w:i/>
          <w:sz w:val="28"/>
          <w:szCs w:val="28"/>
          <w:vertAlign w:val="subscript"/>
          <w:lang w:val="en-US"/>
        </w:rPr>
        <w:t>ij</w:t>
      </w:r>
      <w:r w:rsidRPr="00FA3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границы, введя соответствующие </w:t>
      </w:r>
      <w:proofErr w:type="spellStart"/>
      <w:r>
        <w:rPr>
          <w:sz w:val="28"/>
          <w:szCs w:val="28"/>
        </w:rPr>
        <w:t>дамми</w:t>
      </w:r>
      <w:proofErr w:type="spellEnd"/>
      <w:r>
        <w:rPr>
          <w:sz w:val="28"/>
          <w:szCs w:val="28"/>
        </w:rPr>
        <w:t xml:space="preserve">-переменные. Поскольку важнейшим для стран Азиатско-Тихоокеанского региона содружеством стран является АТЭС, введем </w:t>
      </w:r>
      <w:proofErr w:type="spellStart"/>
      <w:r>
        <w:rPr>
          <w:sz w:val="28"/>
          <w:szCs w:val="28"/>
        </w:rPr>
        <w:t>дамми</w:t>
      </w:r>
      <w:proofErr w:type="spellEnd"/>
      <w:r>
        <w:rPr>
          <w:sz w:val="28"/>
          <w:szCs w:val="28"/>
        </w:rPr>
        <w:t xml:space="preserve">-переменную </w:t>
      </w:r>
      <w:proofErr w:type="spellStart"/>
      <w:r w:rsidRPr="00FA345A">
        <w:rPr>
          <w:i/>
          <w:sz w:val="28"/>
          <w:szCs w:val="28"/>
          <w:lang w:val="en-US"/>
        </w:rPr>
        <w:t>A</w:t>
      </w:r>
      <w:r w:rsidRPr="00FA345A"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sz w:val="28"/>
          <w:szCs w:val="28"/>
        </w:rPr>
        <w:t>, равную единице, если обе рассматриваемые страны входят в АТЭС. Все указанные выше факторы предположительно могут усиливать торговлю стран, и важно провести эконометрическую проверку этой гипотезы.</w:t>
      </w:r>
    </w:p>
    <w:p w:rsidR="005E26FB" w:rsidRPr="00FA345A" w:rsidRDefault="00FA345A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другой стороны, наличие географически близких, партнеров в «остальном мире», не входящем в АТР, позволяет диверсифицировать торговлю. Поэтому еще одним регрессором </w:t>
      </w:r>
      <w:proofErr w:type="spellStart"/>
      <w:r w:rsidRPr="00FA345A">
        <w:rPr>
          <w:i/>
          <w:sz w:val="28"/>
          <w:szCs w:val="28"/>
          <w:lang w:val="en-US"/>
        </w:rPr>
        <w:t>Q</w:t>
      </w:r>
      <w:r w:rsidRPr="00FA345A">
        <w:rPr>
          <w:i/>
          <w:sz w:val="28"/>
          <w:szCs w:val="28"/>
          <w:vertAlign w:val="subscript"/>
          <w:lang w:val="en-US"/>
        </w:rPr>
        <w:t>ij</w:t>
      </w:r>
      <w:proofErr w:type="spellEnd"/>
      <w:r w:rsidRPr="00FA345A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введем в модель суммарное число стран, являющихся «сухопутными» соседями стран </w:t>
      </w:r>
      <w:proofErr w:type="spellStart"/>
      <w:r w:rsidRPr="00FA345A">
        <w:rPr>
          <w:i/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и </w:t>
      </w:r>
      <w:r w:rsidRPr="00FA345A">
        <w:rPr>
          <w:i/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(то есть экспортера и импортера), но не включенными в наше исследование. Полученные с помощью МНК оценки коэффициентов каждой из регрессий </w:t>
      </w:r>
      <w:r>
        <w:rPr>
          <w:sz w:val="28"/>
          <w:szCs w:val="28"/>
        </w:rPr>
        <w:lastRenderedPageBreak/>
        <w:t xml:space="preserve">сведем в табл.1. Там же укажем в круглых скобках стандартные ошибки оценок коэффициентов и в квадратных скобках </w:t>
      </w:r>
      <w:r>
        <w:rPr>
          <w:sz w:val="28"/>
          <w:szCs w:val="28"/>
          <w:lang w:val="en-US"/>
        </w:rPr>
        <w:t>t</w:t>
      </w:r>
      <w:r w:rsidRPr="00FA345A">
        <w:rPr>
          <w:sz w:val="28"/>
          <w:szCs w:val="28"/>
        </w:rPr>
        <w:t>-</w:t>
      </w:r>
      <w:r>
        <w:rPr>
          <w:sz w:val="28"/>
          <w:szCs w:val="28"/>
        </w:rPr>
        <w:t>статистики.</w:t>
      </w:r>
    </w:p>
    <w:p w:rsidR="00FA345A" w:rsidRPr="008E7B71" w:rsidRDefault="00FA345A" w:rsidP="008E7B71">
      <w:pPr>
        <w:jc w:val="right"/>
        <w:rPr>
          <w:sz w:val="28"/>
          <w:szCs w:val="28"/>
        </w:rPr>
      </w:pPr>
      <w:r w:rsidRPr="008E7B71">
        <w:rPr>
          <w:sz w:val="28"/>
          <w:szCs w:val="28"/>
        </w:rPr>
        <w:t>Таблица 1</w:t>
      </w:r>
    </w:p>
    <w:p w:rsidR="00FA345A" w:rsidRPr="008E7B71" w:rsidRDefault="00FA345A" w:rsidP="008E7B71">
      <w:pPr>
        <w:jc w:val="center"/>
        <w:rPr>
          <w:sz w:val="28"/>
          <w:szCs w:val="28"/>
        </w:rPr>
      </w:pPr>
      <w:r w:rsidRPr="008E7B71">
        <w:rPr>
          <w:sz w:val="28"/>
          <w:szCs w:val="28"/>
        </w:rPr>
        <w:t>Регрессионные коэффициенты серии гравитационных моделей торговли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1127"/>
        <w:gridCol w:w="1564"/>
        <w:gridCol w:w="1564"/>
        <w:gridCol w:w="1564"/>
        <w:gridCol w:w="1564"/>
        <w:gridCol w:w="1564"/>
      </w:tblGrid>
      <w:tr w:rsidR="00FA345A" w:rsidRPr="008E7B71" w:rsidTr="00F84417">
        <w:trPr>
          <w:trHeight w:val="7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proofErr w:type="spellStart"/>
            <w:r w:rsidRPr="008E7B71">
              <w:rPr>
                <w:color w:val="000000"/>
                <w:szCs w:val="28"/>
              </w:rPr>
              <w:t>Перем</w:t>
            </w:r>
            <w:proofErr w:type="spellEnd"/>
            <w:r w:rsidRPr="008E7B71">
              <w:rPr>
                <w:color w:val="000000"/>
                <w:szCs w:val="28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 xml:space="preserve">Модель 1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 xml:space="preserve">Модель 2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Модель 3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Модель 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Модель 5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proofErr w:type="spellStart"/>
            <w:r w:rsidRPr="008E7B71">
              <w:rPr>
                <w:color w:val="000000"/>
                <w:szCs w:val="28"/>
              </w:rPr>
              <w:t>const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4,46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(0,81)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5,54]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4,49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(0,86)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5,22]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4,75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(0,88)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5,38]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3,82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(0,87)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4,41]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5,45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(0,86)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6,33]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proofErr w:type="spellStart"/>
            <w:r w:rsidRPr="008E7B71">
              <w:rPr>
                <w:color w:val="000000"/>
                <w:szCs w:val="28"/>
              </w:rPr>
              <w:t>ln</w:t>
            </w:r>
            <w:proofErr w:type="spellEnd"/>
            <w:r w:rsidRPr="008E7B71">
              <w:rPr>
                <w:color w:val="000000"/>
                <w:szCs w:val="28"/>
              </w:rPr>
              <w:t xml:space="preserve"> </w:t>
            </w:r>
            <w:proofErr w:type="spellStart"/>
            <w:r w:rsidRPr="008E7B71">
              <w:rPr>
                <w:i/>
                <w:color w:val="000000"/>
                <w:szCs w:val="28"/>
              </w:rPr>
              <w:t>M</w:t>
            </w:r>
            <w:r w:rsidRPr="008E7B71">
              <w:rPr>
                <w:i/>
                <w:color w:val="000000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1,43***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[35,73]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1,43***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[35,43]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1,42***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[34,85]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1,43***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[36,04]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1,50***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[38,12]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84417" w:rsidP="008E7B71">
            <w:pPr>
              <w:jc w:val="center"/>
              <w:rPr>
                <w:color w:val="000000"/>
                <w:szCs w:val="28"/>
              </w:rPr>
            </w:pPr>
            <w:proofErr w:type="spellStart"/>
            <w:r w:rsidRPr="008E7B71">
              <w:rPr>
                <w:color w:val="000000"/>
                <w:szCs w:val="28"/>
              </w:rPr>
              <w:t>ln</w:t>
            </w:r>
            <w:proofErr w:type="spellEnd"/>
            <w:r w:rsidRPr="008E7B71">
              <w:rPr>
                <w:color w:val="000000"/>
                <w:szCs w:val="28"/>
              </w:rPr>
              <w:t xml:space="preserve"> </w:t>
            </w:r>
            <w:proofErr w:type="spellStart"/>
            <w:r w:rsidR="00FA345A" w:rsidRPr="008E7B71">
              <w:rPr>
                <w:i/>
                <w:color w:val="000000"/>
                <w:szCs w:val="28"/>
              </w:rPr>
              <w:t>M</w:t>
            </w:r>
            <w:r w:rsidR="00FA345A" w:rsidRPr="008E7B71">
              <w:rPr>
                <w:i/>
                <w:color w:val="000000"/>
                <w:szCs w:val="28"/>
                <w:vertAlign w:val="subscript"/>
              </w:rPr>
              <w:t>j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1,21***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[30,15]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1,21***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[29,90]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1,20***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[29,43]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1,07***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[24,83]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1,15***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[26,84]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  <w:lang w:val="en-US"/>
              </w:rPr>
            </w:pPr>
            <w:proofErr w:type="spellStart"/>
            <w:r w:rsidRPr="008E7B71">
              <w:rPr>
                <w:color w:val="000000"/>
                <w:szCs w:val="28"/>
              </w:rPr>
              <w:t>ln</w:t>
            </w:r>
            <w:proofErr w:type="spellEnd"/>
            <w:r w:rsidRPr="008E7B71">
              <w:rPr>
                <w:color w:val="000000"/>
                <w:szCs w:val="28"/>
              </w:rPr>
              <w:t xml:space="preserve"> </w:t>
            </w:r>
            <w:r w:rsidRPr="008E7B71">
              <w:rPr>
                <w:i/>
                <w:color w:val="000000"/>
                <w:szCs w:val="28"/>
              </w:rPr>
              <w:t>D</w:t>
            </w:r>
            <w:r w:rsidR="00F84417" w:rsidRPr="008E7B71">
              <w:rPr>
                <w:i/>
                <w:color w:val="000000"/>
                <w:szCs w:val="28"/>
                <w:vertAlign w:val="subscript"/>
                <w:lang w:val="en-US"/>
              </w:rPr>
              <w:t>ij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0,89***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(0,09)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10,20]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0,89*** (0,10)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9,24]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0,85***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(0,10)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8,43]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0,97***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(0,10)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9,76]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0,86***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(0,10)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8,83]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i/>
                <w:color w:val="000000"/>
                <w:szCs w:val="28"/>
              </w:rPr>
            </w:pPr>
            <w:r w:rsidRPr="008E7B71">
              <w:rPr>
                <w:i/>
                <w:color w:val="000000"/>
                <w:szCs w:val="28"/>
              </w:rPr>
              <w:t>B</w:t>
            </w:r>
            <w:r w:rsidRPr="008E7B71">
              <w:rPr>
                <w:i/>
                <w:color w:val="000000"/>
                <w:szCs w:val="28"/>
                <w:vertAlign w:val="subscript"/>
              </w:rPr>
              <w:t>ij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0,03***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(0,34)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[0,08]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0,11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(0,35)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[0,31]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0,17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(0,34)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[0,50]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0,51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(0,33)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[1,55]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i/>
                <w:color w:val="000000"/>
                <w:szCs w:val="28"/>
              </w:rPr>
            </w:pPr>
            <w:proofErr w:type="spellStart"/>
            <w:r w:rsidRPr="008E7B71">
              <w:rPr>
                <w:i/>
                <w:color w:val="000000"/>
                <w:szCs w:val="28"/>
              </w:rPr>
              <w:t>S</w:t>
            </w:r>
            <w:r w:rsidRPr="008E7B71">
              <w:rPr>
                <w:i/>
                <w:color w:val="000000"/>
                <w:szCs w:val="28"/>
                <w:vertAlign w:val="subscript"/>
              </w:rPr>
              <w:t>ij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0,53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(0,40)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[1,30]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0,32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(0,39)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[0,81]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0,43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(0,38)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[1,13]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i/>
                <w:color w:val="000000"/>
                <w:szCs w:val="28"/>
              </w:rPr>
            </w:pPr>
            <w:proofErr w:type="spellStart"/>
            <w:r w:rsidRPr="008E7B71">
              <w:rPr>
                <w:i/>
                <w:color w:val="000000"/>
                <w:szCs w:val="28"/>
              </w:rPr>
              <w:t>A</w:t>
            </w:r>
            <w:r w:rsidRPr="008E7B71">
              <w:rPr>
                <w:i/>
                <w:color w:val="000000"/>
                <w:szCs w:val="28"/>
                <w:vertAlign w:val="subscript"/>
              </w:rPr>
              <w:t>ij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1,31***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(0,18)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[7,35]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1,31***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(0,17)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[7,64]</w:t>
            </w:r>
          </w:p>
        </w:tc>
      </w:tr>
      <w:tr w:rsidR="00FA345A" w:rsidRPr="008E7B71" w:rsidTr="00F84417">
        <w:trPr>
          <w:trHeight w:val="90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i/>
                <w:color w:val="000000"/>
                <w:szCs w:val="28"/>
              </w:rPr>
            </w:pPr>
            <w:proofErr w:type="spellStart"/>
            <w:r w:rsidRPr="008E7B71">
              <w:rPr>
                <w:i/>
                <w:color w:val="000000"/>
                <w:szCs w:val="28"/>
              </w:rPr>
              <w:t>Q</w:t>
            </w:r>
            <w:r w:rsidRPr="008E7B71">
              <w:rPr>
                <w:i/>
                <w:color w:val="000000"/>
                <w:szCs w:val="28"/>
                <w:vertAlign w:val="subscript"/>
              </w:rPr>
              <w:t>ij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45A" w:rsidRPr="008E7B71" w:rsidRDefault="00390244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–</w:t>
            </w:r>
            <w:r w:rsidR="00FA345A" w:rsidRPr="008E7B71">
              <w:rPr>
                <w:color w:val="000000"/>
                <w:szCs w:val="28"/>
              </w:rPr>
              <w:t>0,17***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(0,02)</w:t>
            </w:r>
          </w:p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[</w:t>
            </w:r>
            <w:r w:rsidR="00390244" w:rsidRPr="008E7B71">
              <w:rPr>
                <w:color w:val="000000"/>
                <w:szCs w:val="28"/>
              </w:rPr>
              <w:t>–</w:t>
            </w:r>
            <w:r w:rsidRPr="008E7B71">
              <w:rPr>
                <w:color w:val="000000"/>
                <w:szCs w:val="28"/>
              </w:rPr>
              <w:t>7,94]</w:t>
            </w:r>
          </w:p>
        </w:tc>
      </w:tr>
      <w:tr w:rsidR="00FA345A" w:rsidRPr="008E7B71" w:rsidTr="00F84417">
        <w:trPr>
          <w:trHeight w:val="34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i/>
                <w:color w:val="000000"/>
                <w:szCs w:val="28"/>
              </w:rPr>
            </w:pPr>
            <w:r w:rsidRPr="008E7B71">
              <w:rPr>
                <w:i/>
                <w:color w:val="000000"/>
                <w:szCs w:val="28"/>
              </w:rPr>
              <w:t>R</w:t>
            </w:r>
            <w:r w:rsidRPr="008E7B71">
              <w:rPr>
                <w:color w:val="000000"/>
                <w:szCs w:val="28"/>
                <w:vertAlign w:val="superscript"/>
              </w:rPr>
              <w:t>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  <w:lang w:val="en-US"/>
              </w:rPr>
              <w:t>0,</w:t>
            </w:r>
            <w:r w:rsidRPr="008E7B71">
              <w:rPr>
                <w:color w:val="000000"/>
                <w:szCs w:val="28"/>
              </w:rPr>
              <w:t>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0,73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45A" w:rsidRPr="008E7B71" w:rsidRDefault="00FA345A" w:rsidP="008E7B71">
            <w:pPr>
              <w:jc w:val="center"/>
              <w:rPr>
                <w:color w:val="000000"/>
                <w:szCs w:val="28"/>
              </w:rPr>
            </w:pPr>
            <w:r w:rsidRPr="008E7B71">
              <w:rPr>
                <w:color w:val="000000"/>
                <w:szCs w:val="28"/>
              </w:rPr>
              <w:t>0,75</w:t>
            </w:r>
          </w:p>
        </w:tc>
      </w:tr>
    </w:tbl>
    <w:p w:rsidR="005E26FB" w:rsidRPr="00F84417" w:rsidRDefault="00F84417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Сравним полученные результаты с </w:t>
      </w:r>
      <w:r w:rsidRPr="00F84417">
        <w:rPr>
          <w:sz w:val="28"/>
          <w:szCs w:val="28"/>
        </w:rPr>
        <w:t>результатами 159 исследований м</w:t>
      </w:r>
      <w:r w:rsidR="00D03D7A">
        <w:rPr>
          <w:sz w:val="28"/>
          <w:szCs w:val="28"/>
        </w:rPr>
        <w:t>еждународной торговли, проведен</w:t>
      </w:r>
      <w:r w:rsidRPr="00F84417">
        <w:rPr>
          <w:sz w:val="28"/>
          <w:szCs w:val="28"/>
        </w:rPr>
        <w:t xml:space="preserve">ных в разные годы в разных регионах мира и агрегированных </w:t>
      </w:r>
      <w:proofErr w:type="spellStart"/>
      <w:r w:rsidRPr="00F84417">
        <w:rPr>
          <w:sz w:val="28"/>
          <w:szCs w:val="28"/>
        </w:rPr>
        <w:t>Хэдом</w:t>
      </w:r>
      <w:proofErr w:type="spellEnd"/>
      <w:r w:rsidRPr="00F84417">
        <w:rPr>
          <w:sz w:val="28"/>
          <w:szCs w:val="28"/>
        </w:rPr>
        <w:t xml:space="preserve"> и Майером в </w:t>
      </w:r>
      <w:proofErr w:type="spellStart"/>
      <w:r w:rsidRPr="00F84417">
        <w:rPr>
          <w:sz w:val="28"/>
          <w:szCs w:val="28"/>
        </w:rPr>
        <w:t>хэндбуке</w:t>
      </w:r>
      <w:proofErr w:type="spellEnd"/>
      <w:r w:rsidRPr="00F84417">
        <w:rPr>
          <w:sz w:val="28"/>
          <w:szCs w:val="28"/>
        </w:rPr>
        <w:t xml:space="preserve"> по международной экономике [1</w:t>
      </w:r>
      <w:r>
        <w:rPr>
          <w:sz w:val="28"/>
          <w:szCs w:val="28"/>
        </w:rPr>
        <w:t>6</w:t>
      </w:r>
      <w:r w:rsidRPr="00F84417">
        <w:rPr>
          <w:sz w:val="28"/>
          <w:szCs w:val="28"/>
        </w:rPr>
        <w:t>].</w:t>
      </w:r>
    </w:p>
    <w:p w:rsidR="00D03D7A" w:rsidRDefault="00D03D7A" w:rsidP="008E7B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стран АТР более важным является размер страны – особенно много торгуют крупнейшие страны – США, Китай, Индия, Япония и т.д. Эластичности экспорта и импорта по размеру равны 1,50 и 1,15 в сравнении со средними значениями 0,98 и 0,84. При этом, как и в большинстве исследований э</w:t>
      </w:r>
      <w:r w:rsidRPr="00D03D7A">
        <w:rPr>
          <w:sz w:val="28"/>
          <w:szCs w:val="28"/>
        </w:rPr>
        <w:t xml:space="preserve">ластичность экспорта </w:t>
      </w:r>
      <w:r>
        <w:rPr>
          <w:sz w:val="28"/>
          <w:szCs w:val="28"/>
        </w:rPr>
        <w:t xml:space="preserve">оказывается выше эластичности импорта, что часто </w:t>
      </w:r>
      <w:r w:rsidRPr="00D03D7A">
        <w:rPr>
          <w:sz w:val="28"/>
          <w:szCs w:val="28"/>
        </w:rPr>
        <w:t>связыва</w:t>
      </w:r>
      <w:r>
        <w:rPr>
          <w:sz w:val="28"/>
          <w:szCs w:val="28"/>
        </w:rPr>
        <w:t>ется</w:t>
      </w:r>
      <w:r w:rsidRPr="00D03D7A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введенным Полом </w:t>
      </w:r>
      <w:proofErr w:type="spellStart"/>
      <w:r>
        <w:rPr>
          <w:sz w:val="28"/>
          <w:szCs w:val="28"/>
        </w:rPr>
        <w:t>Кругманом</w:t>
      </w:r>
      <w:proofErr w:type="spellEnd"/>
      <w:r>
        <w:rPr>
          <w:sz w:val="28"/>
          <w:szCs w:val="28"/>
        </w:rPr>
        <w:t xml:space="preserve"> в </w:t>
      </w:r>
      <w:r w:rsidRPr="00D03D7A">
        <w:rPr>
          <w:sz w:val="28"/>
          <w:szCs w:val="28"/>
        </w:rPr>
        <w:t>[18]</w:t>
      </w:r>
      <w:r>
        <w:rPr>
          <w:sz w:val="28"/>
          <w:szCs w:val="28"/>
        </w:rPr>
        <w:t xml:space="preserve"> эффек</w:t>
      </w:r>
      <w:r w:rsidRPr="00D03D7A">
        <w:rPr>
          <w:sz w:val="28"/>
          <w:szCs w:val="28"/>
        </w:rPr>
        <w:t>том домашнего рынка.</w:t>
      </w:r>
      <w:r w:rsidR="000831C2">
        <w:rPr>
          <w:sz w:val="28"/>
          <w:szCs w:val="28"/>
        </w:rPr>
        <w:t xml:space="preserve"> Эластичность по расстоянию для стран АТР </w:t>
      </w:r>
      <w:r w:rsidR="000831C2" w:rsidRPr="000E0249">
        <w:rPr>
          <w:sz w:val="28"/>
          <w:szCs w:val="28"/>
        </w:rPr>
        <w:t>–</w:t>
      </w:r>
      <w:r w:rsidR="000831C2">
        <w:rPr>
          <w:sz w:val="28"/>
          <w:szCs w:val="28"/>
        </w:rPr>
        <w:t xml:space="preserve">0,86 оказывается чуть ниже среднемирового значения </w:t>
      </w:r>
      <w:r w:rsidR="000831C2" w:rsidRPr="000E0249">
        <w:rPr>
          <w:sz w:val="28"/>
          <w:szCs w:val="28"/>
        </w:rPr>
        <w:t>–</w:t>
      </w:r>
      <w:r w:rsidR="000831C2">
        <w:rPr>
          <w:sz w:val="28"/>
          <w:szCs w:val="28"/>
        </w:rPr>
        <w:t>0,93, что связано с низкими транспортными издержками перевозок по морю. В то же время, оно выше эластичности импорта по расстоянию в модели для России.</w:t>
      </w:r>
    </w:p>
    <w:p w:rsidR="003F4AF4" w:rsidRDefault="000831C2" w:rsidP="008E7B7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Наличие общей сухопутной границы</w:t>
      </w:r>
      <w:r w:rsidR="003F4AF4" w:rsidRPr="003F4AF4">
        <w:rPr>
          <w:sz w:val="28"/>
          <w:szCs w:val="28"/>
        </w:rPr>
        <w:t xml:space="preserve"> </w:t>
      </w:r>
      <w:r w:rsidR="003F4AF4">
        <w:rPr>
          <w:sz w:val="28"/>
          <w:szCs w:val="28"/>
        </w:rPr>
        <w:t>увеличивает торговлю между странами в среднем на 66% (з</w:t>
      </w:r>
      <w:r w:rsidR="005E26FB">
        <w:rPr>
          <w:sz w:val="28"/>
          <w:szCs w:val="28"/>
        </w:rPr>
        <w:t xml:space="preserve">начение </w:t>
      </w:r>
      <w:r w:rsidR="003F4AF4">
        <w:rPr>
          <w:sz w:val="28"/>
          <w:szCs w:val="28"/>
        </w:rPr>
        <w:t>к</w:t>
      </w:r>
      <w:r w:rsidR="005E26FB">
        <w:rPr>
          <w:sz w:val="28"/>
          <w:szCs w:val="28"/>
        </w:rPr>
        <w:t>оэффициент</w:t>
      </w:r>
      <w:r w:rsidR="003F4AF4">
        <w:rPr>
          <w:sz w:val="28"/>
          <w:szCs w:val="28"/>
        </w:rPr>
        <w:t>а</w:t>
      </w:r>
      <w:r w:rsidR="005E26FB">
        <w:rPr>
          <w:sz w:val="28"/>
          <w:szCs w:val="28"/>
        </w:rPr>
        <w:t xml:space="preserve"> </w:t>
      </w:r>
      <w:r w:rsidR="003F4AF4">
        <w:rPr>
          <w:sz w:val="28"/>
          <w:szCs w:val="28"/>
        </w:rPr>
        <w:t xml:space="preserve">при </w:t>
      </w:r>
      <w:r w:rsidR="003F4AF4" w:rsidRPr="003F4AF4">
        <w:rPr>
          <w:i/>
          <w:sz w:val="28"/>
          <w:szCs w:val="28"/>
          <w:lang w:val="en-US"/>
        </w:rPr>
        <w:t>B</w:t>
      </w:r>
      <w:r w:rsidR="003F4AF4" w:rsidRPr="003F4AF4">
        <w:rPr>
          <w:i/>
          <w:sz w:val="28"/>
          <w:szCs w:val="28"/>
          <w:vertAlign w:val="subscript"/>
          <w:lang w:val="en-US"/>
        </w:rPr>
        <w:t>ij</w:t>
      </w:r>
      <w:r w:rsidR="003F4AF4">
        <w:rPr>
          <w:color w:val="000000"/>
          <w:sz w:val="28"/>
          <w:szCs w:val="28"/>
        </w:rPr>
        <w:t>,</w:t>
      </w:r>
      <w:r w:rsidR="005E26FB">
        <w:rPr>
          <w:color w:val="000000"/>
          <w:sz w:val="28"/>
          <w:szCs w:val="28"/>
        </w:rPr>
        <w:t xml:space="preserve"> </w:t>
      </w:r>
      <w:r w:rsidR="003F4AF4">
        <w:rPr>
          <w:color w:val="000000"/>
          <w:sz w:val="28"/>
          <w:szCs w:val="28"/>
        </w:rPr>
        <w:t>равно 0,51, что очень близко</w:t>
      </w:r>
      <w:r w:rsidR="005E26FB">
        <w:rPr>
          <w:color w:val="000000"/>
          <w:sz w:val="28"/>
          <w:szCs w:val="28"/>
        </w:rPr>
        <w:t xml:space="preserve"> к средне</w:t>
      </w:r>
      <w:r w:rsidR="003F4AF4">
        <w:rPr>
          <w:color w:val="000000"/>
          <w:sz w:val="28"/>
          <w:szCs w:val="28"/>
        </w:rPr>
        <w:t xml:space="preserve">мировому значению </w:t>
      </w:r>
      <w:r w:rsidR="005E26FB">
        <w:rPr>
          <w:color w:val="000000"/>
          <w:sz w:val="28"/>
          <w:szCs w:val="28"/>
        </w:rPr>
        <w:t>0,53</w:t>
      </w:r>
      <w:r w:rsidR="003F4AF4">
        <w:rPr>
          <w:color w:val="000000"/>
          <w:sz w:val="28"/>
          <w:szCs w:val="28"/>
        </w:rPr>
        <w:t xml:space="preserve">). При этом из-за существенных колебаний значимость этого показателя не очень высока. Аналогичные выводы можно сделать и для общей морской границы. Очень значимой является принадлежность обеих стран к АТЭС. В этом случае торговля растет в целых 3,7 раза. Каждый же сосед, не относящийся к странам АТР, сокращает торговлю с ними на 16%, что </w:t>
      </w:r>
      <w:r w:rsidR="00BA4C17">
        <w:rPr>
          <w:color w:val="000000"/>
          <w:sz w:val="28"/>
          <w:szCs w:val="28"/>
        </w:rPr>
        <w:t>также является значимым фактором.</w:t>
      </w:r>
    </w:p>
    <w:p w:rsidR="008E7B71" w:rsidRPr="008E7B71" w:rsidRDefault="008E7B71" w:rsidP="008E7B71">
      <w:pPr>
        <w:jc w:val="center"/>
        <w:rPr>
          <w:b/>
          <w:bCs/>
          <w:i/>
          <w:iCs/>
          <w:sz w:val="14"/>
          <w:szCs w:val="28"/>
        </w:rPr>
      </w:pPr>
    </w:p>
    <w:p w:rsidR="00DE5CD3" w:rsidRPr="008E7B71" w:rsidRDefault="00DE5CD3" w:rsidP="008E7B71">
      <w:pPr>
        <w:jc w:val="center"/>
        <w:rPr>
          <w:b/>
          <w:bCs/>
          <w:i/>
          <w:iCs/>
          <w:szCs w:val="28"/>
        </w:rPr>
      </w:pPr>
      <w:r w:rsidRPr="008E7B71">
        <w:rPr>
          <w:b/>
          <w:bCs/>
          <w:i/>
          <w:iCs/>
          <w:szCs w:val="28"/>
        </w:rPr>
        <w:t>Список использованной литературы:</w:t>
      </w:r>
    </w:p>
    <w:p w:rsidR="00131E88" w:rsidRPr="00D27D20" w:rsidRDefault="00131E88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Combes</w:t>
      </w:r>
      <w:r w:rsidRPr="00FA345A">
        <w:rPr>
          <w:iCs/>
          <w:lang w:val="en-US"/>
        </w:rPr>
        <w:t xml:space="preserve"> </w:t>
      </w:r>
      <w:r>
        <w:rPr>
          <w:iCs/>
          <w:lang w:val="en-US"/>
        </w:rPr>
        <w:t>P</w:t>
      </w:r>
      <w:r w:rsidRPr="00FA345A">
        <w:rPr>
          <w:iCs/>
          <w:lang w:val="en-US"/>
        </w:rPr>
        <w:t xml:space="preserve">., </w:t>
      </w:r>
      <w:r>
        <w:rPr>
          <w:iCs/>
          <w:lang w:val="en-US"/>
        </w:rPr>
        <w:t>Mayer</w:t>
      </w:r>
      <w:r w:rsidRPr="00FA345A">
        <w:rPr>
          <w:iCs/>
          <w:lang w:val="en-US"/>
        </w:rPr>
        <w:t xml:space="preserve"> </w:t>
      </w:r>
      <w:r>
        <w:rPr>
          <w:iCs/>
          <w:lang w:val="en-US"/>
        </w:rPr>
        <w:t>T</w:t>
      </w:r>
      <w:r w:rsidRPr="00FA345A">
        <w:rPr>
          <w:iCs/>
          <w:lang w:val="en-US"/>
        </w:rPr>
        <w:t xml:space="preserve">., </w:t>
      </w:r>
      <w:proofErr w:type="spellStart"/>
      <w:r w:rsidRPr="00D27D20">
        <w:rPr>
          <w:iCs/>
          <w:lang w:val="en-US"/>
        </w:rPr>
        <w:t>Thisse</w:t>
      </w:r>
      <w:proofErr w:type="spellEnd"/>
      <w:r w:rsidRPr="00FA345A">
        <w:rPr>
          <w:iCs/>
          <w:lang w:val="en-US"/>
        </w:rPr>
        <w:t xml:space="preserve"> </w:t>
      </w:r>
      <w:r w:rsidRPr="00D27D20">
        <w:rPr>
          <w:iCs/>
          <w:lang w:val="en-US"/>
        </w:rPr>
        <w:t>J. Economic geography: The integration of regions and nations. Princeton University Press. – 2008.</w:t>
      </w:r>
    </w:p>
    <w:p w:rsidR="008D5AB4" w:rsidRPr="00D27D20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D27D20">
        <w:rPr>
          <w:iCs/>
          <w:lang w:val="en-US"/>
        </w:rPr>
        <w:t>Tinbergen</w:t>
      </w:r>
      <w:r w:rsidRPr="002355B4">
        <w:rPr>
          <w:iCs/>
          <w:lang w:val="en-US"/>
        </w:rPr>
        <w:t xml:space="preserve"> </w:t>
      </w:r>
      <w:r w:rsidRPr="00D27D20">
        <w:rPr>
          <w:iCs/>
          <w:lang w:val="en-US"/>
        </w:rPr>
        <w:t>J</w:t>
      </w:r>
      <w:r w:rsidRPr="002355B4">
        <w:rPr>
          <w:iCs/>
          <w:lang w:val="en-US"/>
        </w:rPr>
        <w:t xml:space="preserve">. </w:t>
      </w:r>
      <w:r w:rsidRPr="00D27D20">
        <w:rPr>
          <w:iCs/>
          <w:lang w:val="en-US"/>
        </w:rPr>
        <w:t>Shaping</w:t>
      </w:r>
      <w:r w:rsidRPr="002355B4">
        <w:rPr>
          <w:iCs/>
          <w:lang w:val="en-US"/>
        </w:rPr>
        <w:t xml:space="preserve"> </w:t>
      </w:r>
      <w:r w:rsidRPr="00D27D20">
        <w:rPr>
          <w:iCs/>
          <w:lang w:val="en-US"/>
        </w:rPr>
        <w:t>the</w:t>
      </w:r>
      <w:r w:rsidRPr="002355B4">
        <w:rPr>
          <w:iCs/>
          <w:lang w:val="en-US"/>
        </w:rPr>
        <w:t xml:space="preserve"> </w:t>
      </w:r>
      <w:r w:rsidRPr="00D27D20">
        <w:rPr>
          <w:iCs/>
          <w:lang w:val="en-US"/>
        </w:rPr>
        <w:t>World Economy: Suggestions for an international economic policy. – New York: Twentieth Century Fund. – 1962.</w:t>
      </w:r>
    </w:p>
    <w:p w:rsidR="008D5AB4" w:rsidRPr="00D27D20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D27D20">
        <w:rPr>
          <w:iCs/>
          <w:lang w:val="en-US"/>
        </w:rPr>
        <w:t>Anderson J. A Theoretical foundation for the gravity equation // American E</w:t>
      </w:r>
      <w:r>
        <w:rPr>
          <w:iCs/>
          <w:lang w:val="en-US"/>
        </w:rPr>
        <w:t>conomic Review. – 1979. – V.69</w:t>
      </w:r>
      <w:r w:rsidRPr="00D27D20">
        <w:rPr>
          <w:iCs/>
          <w:lang w:val="en-US"/>
        </w:rPr>
        <w:t>(1). – P.106–116.</w:t>
      </w:r>
    </w:p>
    <w:p w:rsidR="008D5AB4" w:rsidRPr="00D27D20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Helpman</w:t>
      </w:r>
      <w:proofErr w:type="spellEnd"/>
      <w:r w:rsidRPr="00D27D20">
        <w:rPr>
          <w:iCs/>
          <w:lang w:val="en-US"/>
        </w:rPr>
        <w:t xml:space="preserve"> E., </w:t>
      </w:r>
      <w:r>
        <w:rPr>
          <w:iCs/>
          <w:lang w:val="en-US"/>
        </w:rPr>
        <w:t>Krugman</w:t>
      </w:r>
      <w:r w:rsidRPr="00D27D20">
        <w:rPr>
          <w:iCs/>
          <w:lang w:val="en-US"/>
        </w:rPr>
        <w:t xml:space="preserve"> P. Market structure and foreign trade: Increasing returns, imperfect competition, and the international economy. MIT press. – 1985.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 w:rsidRPr="00D27D20">
        <w:rPr>
          <w:iCs/>
          <w:lang w:val="en-US"/>
        </w:rPr>
        <w:t>Helpman</w:t>
      </w:r>
      <w:proofErr w:type="spellEnd"/>
      <w:r w:rsidRPr="00D27D20">
        <w:rPr>
          <w:iCs/>
          <w:lang w:val="en-US"/>
        </w:rPr>
        <w:t xml:space="preserve"> E. Imperfect competition and international trade: evidence from fourteen industrial countries // Journal of </w:t>
      </w:r>
      <w:r>
        <w:rPr>
          <w:iCs/>
          <w:lang w:val="en-US"/>
        </w:rPr>
        <w:t xml:space="preserve">the </w:t>
      </w:r>
      <w:r w:rsidRPr="00D27D20">
        <w:rPr>
          <w:iCs/>
          <w:lang w:val="en-US"/>
        </w:rPr>
        <w:t>Japan</w:t>
      </w:r>
      <w:r>
        <w:rPr>
          <w:iCs/>
          <w:lang w:val="en-US"/>
        </w:rPr>
        <w:t>ese and International Economies</w:t>
      </w:r>
      <w:r w:rsidRPr="00D27D20">
        <w:rPr>
          <w:iCs/>
          <w:lang w:val="en-US"/>
        </w:rPr>
        <w:t>.</w:t>
      </w:r>
      <w:r>
        <w:rPr>
          <w:iCs/>
          <w:lang w:val="en-US"/>
        </w:rPr>
        <w:t xml:space="preserve"> 1987. – V</w:t>
      </w:r>
      <w:r w:rsidRPr="00D27D20">
        <w:rPr>
          <w:iCs/>
          <w:lang w:val="en-US"/>
        </w:rPr>
        <w:t xml:space="preserve">.1(1). </w:t>
      </w:r>
      <w:r>
        <w:rPr>
          <w:iCs/>
          <w:lang w:val="en-US"/>
        </w:rPr>
        <w:t>–</w:t>
      </w:r>
      <w:r w:rsidRPr="00D27D20">
        <w:rPr>
          <w:iCs/>
          <w:lang w:val="en-US"/>
        </w:rPr>
        <w:t xml:space="preserve"> </w:t>
      </w:r>
      <w:r>
        <w:rPr>
          <w:iCs/>
          <w:lang w:val="en-US"/>
        </w:rPr>
        <w:t>P.</w:t>
      </w:r>
      <w:r w:rsidRPr="00D27D20">
        <w:rPr>
          <w:iCs/>
          <w:lang w:val="en-US"/>
        </w:rPr>
        <w:t>62-81.</w:t>
      </w:r>
    </w:p>
    <w:p w:rsidR="008D5AB4" w:rsidRPr="00D27D20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Feenstra</w:t>
      </w:r>
      <w:proofErr w:type="spellEnd"/>
      <w:r w:rsidRPr="00D27D20">
        <w:rPr>
          <w:iCs/>
          <w:lang w:val="en-US"/>
        </w:rPr>
        <w:t xml:space="preserve"> R. Border eff</w:t>
      </w:r>
      <w:r>
        <w:rPr>
          <w:iCs/>
          <w:lang w:val="en-US"/>
        </w:rPr>
        <w:t>ects and the gravity equation: c</w:t>
      </w:r>
      <w:r w:rsidRPr="00D27D20">
        <w:rPr>
          <w:iCs/>
          <w:lang w:val="en-US"/>
        </w:rPr>
        <w:t>onsistent methods for estimation</w:t>
      </w:r>
      <w:r>
        <w:rPr>
          <w:iCs/>
          <w:lang w:val="en-US"/>
        </w:rPr>
        <w:t xml:space="preserve"> //</w:t>
      </w:r>
      <w:r w:rsidRPr="00D27D20">
        <w:rPr>
          <w:iCs/>
          <w:lang w:val="en-US"/>
        </w:rPr>
        <w:t xml:space="preserve"> Scotti</w:t>
      </w:r>
      <w:r>
        <w:rPr>
          <w:iCs/>
          <w:lang w:val="en-US"/>
        </w:rPr>
        <w:t>sh Journal of Political Economy. – 2002. – V.49(5). – P.</w:t>
      </w:r>
      <w:r w:rsidRPr="00D27D20">
        <w:rPr>
          <w:iCs/>
          <w:lang w:val="en-US"/>
        </w:rPr>
        <w:t>491-506.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 w:rsidRPr="005D29D2">
        <w:rPr>
          <w:iCs/>
          <w:lang w:val="en-US"/>
        </w:rPr>
        <w:t>Helpman</w:t>
      </w:r>
      <w:proofErr w:type="spellEnd"/>
      <w:r w:rsidRPr="005D29D2">
        <w:rPr>
          <w:iCs/>
          <w:lang w:val="en-US"/>
        </w:rPr>
        <w:t xml:space="preserve"> E., Melit</w:t>
      </w:r>
      <w:r>
        <w:rPr>
          <w:iCs/>
          <w:lang w:val="en-US"/>
        </w:rPr>
        <w:t>z M., Rubinstein Y. Estimating t</w:t>
      </w:r>
      <w:r w:rsidRPr="005D29D2">
        <w:rPr>
          <w:iCs/>
          <w:lang w:val="en-US"/>
        </w:rPr>
        <w:t xml:space="preserve">rade </w:t>
      </w:r>
      <w:r>
        <w:rPr>
          <w:iCs/>
          <w:lang w:val="en-US"/>
        </w:rPr>
        <w:t>f</w:t>
      </w:r>
      <w:r w:rsidRPr="005D29D2">
        <w:rPr>
          <w:iCs/>
          <w:lang w:val="en-US"/>
        </w:rPr>
        <w:t xml:space="preserve">lows: </w:t>
      </w:r>
      <w:r>
        <w:rPr>
          <w:iCs/>
          <w:lang w:val="en-US"/>
        </w:rPr>
        <w:t>t</w:t>
      </w:r>
      <w:r w:rsidRPr="005D29D2">
        <w:rPr>
          <w:iCs/>
          <w:lang w:val="en-US"/>
        </w:rPr>
        <w:t xml:space="preserve">rading </w:t>
      </w:r>
      <w:r>
        <w:rPr>
          <w:iCs/>
          <w:lang w:val="en-US"/>
        </w:rPr>
        <w:t>partners and t</w:t>
      </w:r>
      <w:r w:rsidRPr="005D29D2">
        <w:rPr>
          <w:iCs/>
          <w:lang w:val="en-US"/>
        </w:rPr>
        <w:t xml:space="preserve">rading </w:t>
      </w:r>
      <w:r>
        <w:rPr>
          <w:iCs/>
          <w:lang w:val="en-US"/>
        </w:rPr>
        <w:t>v</w:t>
      </w:r>
      <w:r w:rsidRPr="005D29D2">
        <w:rPr>
          <w:iCs/>
          <w:lang w:val="en-US"/>
        </w:rPr>
        <w:t xml:space="preserve">olumes // The Quarterly Journal of Economics. – 2008. </w:t>
      </w:r>
      <w:r>
        <w:rPr>
          <w:iCs/>
          <w:lang w:val="en-US"/>
        </w:rPr>
        <w:t xml:space="preserve">– </w:t>
      </w:r>
      <w:r w:rsidRPr="005D29D2">
        <w:rPr>
          <w:iCs/>
          <w:lang w:val="en-US"/>
        </w:rPr>
        <w:t>V</w:t>
      </w:r>
      <w:r>
        <w:rPr>
          <w:iCs/>
          <w:lang w:val="en-US"/>
        </w:rPr>
        <w:t>.</w:t>
      </w:r>
      <w:r w:rsidRPr="005D29D2">
        <w:rPr>
          <w:iCs/>
          <w:lang w:val="en-US"/>
        </w:rPr>
        <w:t>123(2). – P.441-487.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F87C01">
        <w:rPr>
          <w:iCs/>
          <w:lang w:val="en-US"/>
        </w:rPr>
        <w:t xml:space="preserve">Anderson J., van </w:t>
      </w:r>
      <w:proofErr w:type="spellStart"/>
      <w:r w:rsidRPr="00F87C01">
        <w:rPr>
          <w:iCs/>
          <w:lang w:val="en-US"/>
        </w:rPr>
        <w:t>Wincoop</w:t>
      </w:r>
      <w:proofErr w:type="spellEnd"/>
      <w:r w:rsidRPr="00F87C01">
        <w:rPr>
          <w:iCs/>
          <w:lang w:val="en-US"/>
        </w:rPr>
        <w:t xml:space="preserve"> E. Gravity with gravitas: </w:t>
      </w:r>
      <w:r>
        <w:rPr>
          <w:iCs/>
          <w:lang w:val="en-US"/>
        </w:rPr>
        <w:t>a solution to the border puzzle //</w:t>
      </w:r>
      <w:r w:rsidRPr="00F87C01">
        <w:rPr>
          <w:iCs/>
          <w:lang w:val="en-US"/>
        </w:rPr>
        <w:t xml:space="preserve"> The American Economic Review</w:t>
      </w:r>
      <w:r>
        <w:rPr>
          <w:iCs/>
          <w:lang w:val="en-US"/>
        </w:rPr>
        <w:t>. – 2003. –</w:t>
      </w:r>
      <w:r w:rsidRPr="00F87C01">
        <w:rPr>
          <w:iCs/>
          <w:lang w:val="en-US"/>
        </w:rPr>
        <w:t xml:space="preserve"> </w:t>
      </w:r>
      <w:r>
        <w:rPr>
          <w:iCs/>
          <w:lang w:val="en-US"/>
        </w:rPr>
        <w:t>V.</w:t>
      </w:r>
      <w:r w:rsidRPr="00F87C01">
        <w:rPr>
          <w:iCs/>
          <w:lang w:val="en-US"/>
        </w:rPr>
        <w:t>93(1)</w:t>
      </w:r>
      <w:r>
        <w:rPr>
          <w:iCs/>
          <w:lang w:val="en-US"/>
        </w:rPr>
        <w:t>. – P.</w:t>
      </w:r>
      <w:r w:rsidRPr="00F87C01">
        <w:rPr>
          <w:iCs/>
          <w:lang w:val="en-US"/>
        </w:rPr>
        <w:t>170-192.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McCallum</w:t>
      </w:r>
      <w:r w:rsidRPr="00F87C01">
        <w:rPr>
          <w:iCs/>
          <w:lang w:val="en-US"/>
        </w:rPr>
        <w:t xml:space="preserve"> J. National borders matter: Canada-US regional trade patterns</w:t>
      </w:r>
      <w:r>
        <w:rPr>
          <w:iCs/>
          <w:lang w:val="en-US"/>
        </w:rPr>
        <w:t xml:space="preserve"> //</w:t>
      </w:r>
      <w:r w:rsidRPr="00F87C01">
        <w:rPr>
          <w:iCs/>
          <w:lang w:val="en-US"/>
        </w:rPr>
        <w:t xml:space="preserve"> The American Economic Review</w:t>
      </w:r>
      <w:r>
        <w:rPr>
          <w:iCs/>
          <w:lang w:val="en-US"/>
        </w:rPr>
        <w:t>. – 1995. –</w:t>
      </w:r>
      <w:r w:rsidRPr="00F87C01">
        <w:rPr>
          <w:iCs/>
          <w:lang w:val="en-US"/>
        </w:rPr>
        <w:t xml:space="preserve"> </w:t>
      </w:r>
      <w:r>
        <w:rPr>
          <w:iCs/>
          <w:lang w:val="en-US"/>
        </w:rPr>
        <w:t>V.</w:t>
      </w:r>
      <w:r w:rsidRPr="00F87C01">
        <w:rPr>
          <w:iCs/>
          <w:lang w:val="en-US"/>
        </w:rPr>
        <w:t>85(3)</w:t>
      </w:r>
      <w:r>
        <w:rPr>
          <w:iCs/>
          <w:lang w:val="en-US"/>
        </w:rPr>
        <w:t>. – P.</w:t>
      </w:r>
      <w:r w:rsidRPr="00F87C01">
        <w:rPr>
          <w:iCs/>
          <w:lang w:val="en-US"/>
        </w:rPr>
        <w:t>615-623.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Frankel</w:t>
      </w:r>
      <w:r w:rsidRPr="003008A5">
        <w:rPr>
          <w:iCs/>
          <w:lang w:val="en-US"/>
        </w:rPr>
        <w:t xml:space="preserve"> J., </w:t>
      </w:r>
      <w:r>
        <w:rPr>
          <w:iCs/>
          <w:lang w:val="en-US"/>
        </w:rPr>
        <w:t>Stein E., Wei</w:t>
      </w:r>
      <w:r w:rsidRPr="003008A5">
        <w:rPr>
          <w:iCs/>
          <w:lang w:val="en-US"/>
        </w:rPr>
        <w:t xml:space="preserve"> S. Regional trading blocs in the world economic system. Peterson Institute.</w:t>
      </w:r>
      <w:r>
        <w:rPr>
          <w:iCs/>
          <w:lang w:val="en-US"/>
        </w:rPr>
        <w:t xml:space="preserve"> – 1997.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3008A5">
        <w:rPr>
          <w:iCs/>
          <w:lang w:val="en-US"/>
        </w:rPr>
        <w:t>Rose A. One money, one market: the effect of common currencies on trade</w:t>
      </w:r>
      <w:r>
        <w:rPr>
          <w:iCs/>
          <w:lang w:val="en-US"/>
        </w:rPr>
        <w:t xml:space="preserve"> //</w:t>
      </w:r>
      <w:r w:rsidRPr="003008A5">
        <w:rPr>
          <w:iCs/>
          <w:lang w:val="en-US"/>
        </w:rPr>
        <w:t xml:space="preserve"> Economic Policy</w:t>
      </w:r>
      <w:r>
        <w:rPr>
          <w:iCs/>
          <w:lang w:val="en-US"/>
        </w:rPr>
        <w:t>. – 2000. – V.</w:t>
      </w:r>
      <w:r w:rsidRPr="003008A5">
        <w:rPr>
          <w:iCs/>
          <w:lang w:val="en-US"/>
        </w:rPr>
        <w:t>15(30)</w:t>
      </w:r>
      <w:r>
        <w:rPr>
          <w:iCs/>
          <w:lang w:val="en-US"/>
        </w:rPr>
        <w:t>. – P.</w:t>
      </w:r>
      <w:r w:rsidRPr="003008A5">
        <w:rPr>
          <w:iCs/>
          <w:lang w:val="en-US"/>
        </w:rPr>
        <w:t>8-45.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Barro</w:t>
      </w:r>
      <w:proofErr w:type="spellEnd"/>
      <w:r>
        <w:rPr>
          <w:iCs/>
          <w:lang w:val="en-US"/>
        </w:rPr>
        <w:t xml:space="preserve"> R., </w:t>
      </w:r>
      <w:proofErr w:type="spellStart"/>
      <w:r>
        <w:rPr>
          <w:iCs/>
          <w:lang w:val="en-US"/>
        </w:rPr>
        <w:t>Tenreyro</w:t>
      </w:r>
      <w:proofErr w:type="spellEnd"/>
      <w:r w:rsidRPr="003008A5">
        <w:rPr>
          <w:iCs/>
          <w:lang w:val="en-US"/>
        </w:rPr>
        <w:t xml:space="preserve"> S. Economic effects of currency unions</w:t>
      </w:r>
      <w:r>
        <w:rPr>
          <w:iCs/>
          <w:lang w:val="en-US"/>
        </w:rPr>
        <w:t xml:space="preserve"> //</w:t>
      </w:r>
      <w:r w:rsidRPr="003008A5">
        <w:rPr>
          <w:iCs/>
          <w:lang w:val="en-US"/>
        </w:rPr>
        <w:t xml:space="preserve"> Economic Inquiry</w:t>
      </w:r>
      <w:r>
        <w:rPr>
          <w:iCs/>
          <w:lang w:val="en-US"/>
        </w:rPr>
        <w:t>. – 2007. – V.</w:t>
      </w:r>
      <w:r w:rsidRPr="003008A5">
        <w:rPr>
          <w:iCs/>
          <w:lang w:val="en-US"/>
        </w:rPr>
        <w:t>45(1)</w:t>
      </w:r>
      <w:r>
        <w:rPr>
          <w:iCs/>
          <w:lang w:val="en-US"/>
        </w:rPr>
        <w:t>. – P.</w:t>
      </w:r>
      <w:r w:rsidRPr="003008A5">
        <w:rPr>
          <w:iCs/>
          <w:lang w:val="en-US"/>
        </w:rPr>
        <w:t>1-23.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Rose A</w:t>
      </w:r>
      <w:r w:rsidRPr="003008A5">
        <w:rPr>
          <w:iCs/>
          <w:lang w:val="en-US"/>
        </w:rPr>
        <w:t xml:space="preserve">. Do we really know that the WTO increases trade? </w:t>
      </w:r>
      <w:r>
        <w:rPr>
          <w:iCs/>
          <w:lang w:val="en-US"/>
        </w:rPr>
        <w:t>// The American Economic Review. – 2004. – V.</w:t>
      </w:r>
      <w:r w:rsidRPr="003008A5">
        <w:rPr>
          <w:iCs/>
          <w:lang w:val="en-US"/>
        </w:rPr>
        <w:t>94(1)</w:t>
      </w:r>
      <w:r>
        <w:rPr>
          <w:iCs/>
          <w:lang w:val="en-US"/>
        </w:rPr>
        <w:t>. – P.</w:t>
      </w:r>
      <w:r w:rsidRPr="003008A5">
        <w:rPr>
          <w:iCs/>
          <w:lang w:val="en-US"/>
        </w:rPr>
        <w:t>98-114.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936C21">
        <w:rPr>
          <w:iCs/>
          <w:lang w:val="en-US"/>
        </w:rPr>
        <w:t xml:space="preserve">Davis D., </w:t>
      </w:r>
      <w:r>
        <w:rPr>
          <w:iCs/>
          <w:lang w:val="en-US"/>
        </w:rPr>
        <w:t>Weinstein</w:t>
      </w:r>
      <w:r w:rsidRPr="00936C21">
        <w:rPr>
          <w:iCs/>
          <w:lang w:val="en-US"/>
        </w:rPr>
        <w:t xml:space="preserve"> D. Market access, economic geography and comparative advantage: an empirical test</w:t>
      </w:r>
      <w:r>
        <w:rPr>
          <w:iCs/>
          <w:lang w:val="en-US"/>
        </w:rPr>
        <w:t xml:space="preserve"> //</w:t>
      </w:r>
      <w:r w:rsidRPr="00936C21">
        <w:rPr>
          <w:iCs/>
          <w:lang w:val="en-US"/>
        </w:rPr>
        <w:t xml:space="preserve"> Journal of International Economics</w:t>
      </w:r>
      <w:r>
        <w:rPr>
          <w:iCs/>
          <w:lang w:val="en-US"/>
        </w:rPr>
        <w:t>. 2003. –</w:t>
      </w:r>
      <w:r w:rsidRPr="00936C21">
        <w:rPr>
          <w:iCs/>
          <w:lang w:val="en-US"/>
        </w:rPr>
        <w:t xml:space="preserve"> </w:t>
      </w:r>
      <w:r>
        <w:rPr>
          <w:iCs/>
          <w:lang w:val="en-US"/>
        </w:rPr>
        <w:t>V.</w:t>
      </w:r>
      <w:r w:rsidRPr="00936C21">
        <w:rPr>
          <w:iCs/>
          <w:lang w:val="en-US"/>
        </w:rPr>
        <w:t>59(1)</w:t>
      </w:r>
      <w:r>
        <w:rPr>
          <w:iCs/>
          <w:lang w:val="en-US"/>
        </w:rPr>
        <w:t>. – P.</w:t>
      </w:r>
      <w:r w:rsidRPr="00936C21">
        <w:rPr>
          <w:iCs/>
          <w:lang w:val="en-US"/>
        </w:rPr>
        <w:t>1-23.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7837FE">
        <w:rPr>
          <w:iCs/>
          <w:lang w:val="en-US"/>
        </w:rPr>
        <w:t xml:space="preserve">Egger P., </w:t>
      </w:r>
      <w:proofErr w:type="spellStart"/>
      <w:r w:rsidRPr="007837FE">
        <w:rPr>
          <w:iCs/>
          <w:lang w:val="en-US"/>
        </w:rPr>
        <w:t>Lassmann</w:t>
      </w:r>
      <w:proofErr w:type="spellEnd"/>
      <w:r>
        <w:rPr>
          <w:iCs/>
          <w:lang w:val="en-US"/>
        </w:rPr>
        <w:t xml:space="preserve"> A. The language effect in international trade: a meta-analysis // </w:t>
      </w:r>
      <w:r w:rsidRPr="007837FE">
        <w:rPr>
          <w:iCs/>
          <w:lang w:val="en-US"/>
        </w:rPr>
        <w:t>Economics Letters</w:t>
      </w:r>
      <w:r>
        <w:rPr>
          <w:iCs/>
          <w:lang w:val="en-US"/>
        </w:rPr>
        <w:t>. – 2012. – V.</w:t>
      </w:r>
      <w:r w:rsidRPr="007837FE">
        <w:rPr>
          <w:iCs/>
          <w:lang w:val="en-US"/>
        </w:rPr>
        <w:t>116(2)</w:t>
      </w:r>
      <w:r>
        <w:rPr>
          <w:iCs/>
          <w:lang w:val="en-US"/>
        </w:rPr>
        <w:t>. – P.</w:t>
      </w:r>
      <w:r w:rsidRPr="007837FE">
        <w:rPr>
          <w:iCs/>
          <w:lang w:val="en-US"/>
        </w:rPr>
        <w:t>221-224.</w:t>
      </w:r>
    </w:p>
    <w:p w:rsidR="008D5AB4" w:rsidRDefault="008D5AB4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75760E">
        <w:rPr>
          <w:iCs/>
          <w:lang w:val="en-US"/>
        </w:rPr>
        <w:t xml:space="preserve">Head K., Mayer T. </w:t>
      </w:r>
      <w:r>
        <w:rPr>
          <w:iCs/>
          <w:lang w:val="en-US"/>
        </w:rPr>
        <w:t>Gravity equations: w</w:t>
      </w:r>
      <w:r w:rsidRPr="0075760E">
        <w:rPr>
          <w:iCs/>
          <w:lang w:val="en-US"/>
        </w:rPr>
        <w:t>orkhorse, toolkit, and cookbook</w:t>
      </w:r>
      <w:r>
        <w:rPr>
          <w:iCs/>
          <w:lang w:val="en-US"/>
        </w:rPr>
        <w:t xml:space="preserve"> //</w:t>
      </w:r>
      <w:r w:rsidRPr="0075760E">
        <w:rPr>
          <w:iCs/>
          <w:lang w:val="en-US"/>
        </w:rPr>
        <w:t xml:space="preserve"> Handbook of International Economics. </w:t>
      </w:r>
      <w:r>
        <w:rPr>
          <w:iCs/>
          <w:lang w:val="en-US"/>
        </w:rPr>
        <w:t>– 2014. – V.</w:t>
      </w:r>
      <w:r w:rsidRPr="0075760E">
        <w:rPr>
          <w:iCs/>
          <w:lang w:val="en-US"/>
        </w:rPr>
        <w:t>4</w:t>
      </w:r>
      <w:r>
        <w:rPr>
          <w:iCs/>
          <w:lang w:val="en-US"/>
        </w:rPr>
        <w:t>. – P.131-195.</w:t>
      </w:r>
    </w:p>
    <w:p w:rsidR="00276767" w:rsidRPr="00D03D7A" w:rsidRDefault="00276767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3F5D2B">
        <w:rPr>
          <w:lang w:val="en-US"/>
        </w:rPr>
        <w:t xml:space="preserve">Filatov A., </w:t>
      </w:r>
      <w:proofErr w:type="spellStart"/>
      <w:r w:rsidRPr="003F5D2B">
        <w:rPr>
          <w:lang w:val="en-US"/>
        </w:rPr>
        <w:t>Novikova</w:t>
      </w:r>
      <w:proofErr w:type="spellEnd"/>
      <w:r w:rsidRPr="003F5D2B">
        <w:rPr>
          <w:lang w:val="en-US"/>
        </w:rPr>
        <w:t xml:space="preserve"> A. Modelling of interregional tr</w:t>
      </w:r>
      <w:r>
        <w:rPr>
          <w:lang w:val="en-US"/>
        </w:rPr>
        <w:t>ade in Russia: gravity approach</w:t>
      </w:r>
      <w:r w:rsidRPr="003F5D2B">
        <w:rPr>
          <w:lang w:val="en-US"/>
        </w:rPr>
        <w:t xml:space="preserve"> // Recent Advances of the Russian Operations Research Society (</w:t>
      </w:r>
      <w:proofErr w:type="spellStart"/>
      <w:r w:rsidRPr="003F5D2B">
        <w:rPr>
          <w:lang w:val="en-US"/>
        </w:rPr>
        <w:t>eds</w:t>
      </w:r>
      <w:proofErr w:type="spellEnd"/>
      <w:r w:rsidRPr="003F5D2B">
        <w:rPr>
          <w:lang w:val="en-US"/>
        </w:rPr>
        <w:t xml:space="preserve">: </w:t>
      </w:r>
      <w:proofErr w:type="spellStart"/>
      <w:r w:rsidRPr="003F5D2B">
        <w:rPr>
          <w:lang w:val="en-US"/>
        </w:rPr>
        <w:t>Fuad</w:t>
      </w:r>
      <w:proofErr w:type="spellEnd"/>
      <w:r w:rsidRPr="003F5D2B">
        <w:rPr>
          <w:lang w:val="en-US"/>
        </w:rPr>
        <w:t xml:space="preserve"> </w:t>
      </w:r>
      <w:proofErr w:type="spellStart"/>
      <w:r w:rsidRPr="003F5D2B">
        <w:rPr>
          <w:lang w:val="en-US"/>
        </w:rPr>
        <w:t>Aleskerov</w:t>
      </w:r>
      <w:proofErr w:type="spellEnd"/>
      <w:r w:rsidRPr="003F5D2B">
        <w:rPr>
          <w:lang w:val="en-US"/>
        </w:rPr>
        <w:t xml:space="preserve">, Alexander </w:t>
      </w:r>
      <w:proofErr w:type="spellStart"/>
      <w:r w:rsidRPr="003F5D2B">
        <w:rPr>
          <w:lang w:val="en-US"/>
        </w:rPr>
        <w:t>Vasin</w:t>
      </w:r>
      <w:proofErr w:type="spellEnd"/>
      <w:r w:rsidRPr="003F5D2B">
        <w:rPr>
          <w:lang w:val="en-US"/>
        </w:rPr>
        <w:t>)</w:t>
      </w:r>
      <w:r>
        <w:rPr>
          <w:lang w:val="en-US"/>
        </w:rPr>
        <w:t>. –</w:t>
      </w:r>
      <w:r w:rsidRPr="003F5D2B">
        <w:rPr>
          <w:lang w:val="en-US"/>
        </w:rPr>
        <w:t xml:space="preserve"> Newcastle: Cambridge Scholars Publishing, 2020</w:t>
      </w:r>
      <w:r>
        <w:rPr>
          <w:lang w:val="en-US"/>
        </w:rPr>
        <w:t>. –</w:t>
      </w:r>
      <w:r w:rsidRPr="003F5D2B">
        <w:rPr>
          <w:lang w:val="en-US"/>
        </w:rPr>
        <w:t xml:space="preserve"> </w:t>
      </w:r>
      <w:r>
        <w:rPr>
          <w:lang w:val="en-US"/>
        </w:rPr>
        <w:t>P</w:t>
      </w:r>
      <w:r w:rsidRPr="003F5D2B">
        <w:rPr>
          <w:lang w:val="en-US"/>
        </w:rPr>
        <w:t>.151-162.</w:t>
      </w:r>
    </w:p>
    <w:p w:rsidR="00D03D7A" w:rsidRPr="00D03D7A" w:rsidRDefault="00D03D7A" w:rsidP="008E7B71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1C504E">
        <w:rPr>
          <w:iCs/>
          <w:lang w:val="en-US"/>
        </w:rPr>
        <w:t xml:space="preserve">Krugman P. Scale economies, product differentiation, and the pattern of trade </w:t>
      </w:r>
      <w:r>
        <w:rPr>
          <w:iCs/>
          <w:lang w:val="en-US"/>
        </w:rPr>
        <w:t>//</w:t>
      </w:r>
      <w:r w:rsidRPr="001C504E">
        <w:rPr>
          <w:iCs/>
          <w:lang w:val="en-US"/>
        </w:rPr>
        <w:t xml:space="preserve"> The American Economic Review</w:t>
      </w:r>
      <w:r>
        <w:rPr>
          <w:iCs/>
          <w:lang w:val="en-US"/>
        </w:rPr>
        <w:t>. – 1980. – V.</w:t>
      </w:r>
      <w:r w:rsidRPr="001C504E">
        <w:rPr>
          <w:iCs/>
          <w:lang w:val="en-US"/>
        </w:rPr>
        <w:t>70(5)</w:t>
      </w:r>
      <w:r>
        <w:rPr>
          <w:iCs/>
          <w:lang w:val="en-US"/>
        </w:rPr>
        <w:t>. – P.</w:t>
      </w:r>
      <w:r w:rsidRPr="001C504E">
        <w:rPr>
          <w:iCs/>
          <w:lang w:val="en-US"/>
        </w:rPr>
        <w:t>950-959.</w:t>
      </w:r>
    </w:p>
    <w:sectPr w:rsidR="00D03D7A" w:rsidRPr="00D03D7A" w:rsidSect="00DB63E1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800" w:rsidRDefault="00785800">
      <w:r>
        <w:separator/>
      </w:r>
    </w:p>
  </w:endnote>
  <w:endnote w:type="continuationSeparator" w:id="0">
    <w:p w:rsidR="00785800" w:rsidRDefault="0078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AF4" w:rsidRDefault="00EE6AF4" w:rsidP="003173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E6AF4" w:rsidRDefault="00EE6AF4" w:rsidP="0031731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AF4" w:rsidRDefault="00EE6AF4" w:rsidP="003173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800" w:rsidRDefault="00785800">
      <w:r>
        <w:separator/>
      </w:r>
    </w:p>
  </w:footnote>
  <w:footnote w:type="continuationSeparator" w:id="0">
    <w:p w:rsidR="00785800" w:rsidRDefault="00785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660C"/>
    <w:multiLevelType w:val="hybridMultilevel"/>
    <w:tmpl w:val="2C146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95B46"/>
    <w:multiLevelType w:val="hybridMultilevel"/>
    <w:tmpl w:val="9E3621D4"/>
    <w:lvl w:ilvl="0" w:tplc="EB1C47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FC70604"/>
    <w:multiLevelType w:val="hybridMultilevel"/>
    <w:tmpl w:val="585E72A6"/>
    <w:lvl w:ilvl="0" w:tplc="AC885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E04777"/>
    <w:multiLevelType w:val="hybridMultilevel"/>
    <w:tmpl w:val="55B2E1B6"/>
    <w:lvl w:ilvl="0" w:tplc="1EF631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41164BC"/>
    <w:multiLevelType w:val="hybridMultilevel"/>
    <w:tmpl w:val="82FEC8C2"/>
    <w:lvl w:ilvl="0" w:tplc="5060F9F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8201AF"/>
    <w:multiLevelType w:val="hybridMultilevel"/>
    <w:tmpl w:val="9FBEEBA8"/>
    <w:lvl w:ilvl="0" w:tplc="21D07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DE0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AA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C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AA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486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8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42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65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7076B5A"/>
    <w:multiLevelType w:val="singleLevel"/>
    <w:tmpl w:val="36D03C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7" w15:restartNumberingAfterBreak="0">
    <w:nsid w:val="33E93D9D"/>
    <w:multiLevelType w:val="multilevel"/>
    <w:tmpl w:val="BF6E5B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 w15:restartNumberingAfterBreak="0">
    <w:nsid w:val="3DEF3C51"/>
    <w:multiLevelType w:val="hybridMultilevel"/>
    <w:tmpl w:val="EB047B3C"/>
    <w:lvl w:ilvl="0" w:tplc="65B8D96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EC3ED3"/>
    <w:multiLevelType w:val="hybridMultilevel"/>
    <w:tmpl w:val="E11C73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D037A22"/>
    <w:multiLevelType w:val="hybridMultilevel"/>
    <w:tmpl w:val="71C871DC"/>
    <w:lvl w:ilvl="0" w:tplc="8BB63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E1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0A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29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5AC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883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F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963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304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0711CC0"/>
    <w:multiLevelType w:val="multilevel"/>
    <w:tmpl w:val="649E5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7394E85"/>
    <w:multiLevelType w:val="hybridMultilevel"/>
    <w:tmpl w:val="F5208366"/>
    <w:lvl w:ilvl="0" w:tplc="601A2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2068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1068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A1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0425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8F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2B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C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871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2610C"/>
    <w:multiLevelType w:val="hybridMultilevel"/>
    <w:tmpl w:val="AE404B38"/>
    <w:lvl w:ilvl="0" w:tplc="F80C7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0B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0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6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88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AD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E2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AE7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61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DDA75B4"/>
    <w:multiLevelType w:val="hybridMultilevel"/>
    <w:tmpl w:val="5D5285E2"/>
    <w:lvl w:ilvl="0" w:tplc="28849C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14"/>
  </w:num>
  <w:num w:numId="10">
    <w:abstractNumId w:val="6"/>
  </w:num>
  <w:num w:numId="11">
    <w:abstractNumId w:val="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1D"/>
    <w:rsid w:val="00000A48"/>
    <w:rsid w:val="00002DCF"/>
    <w:rsid w:val="0000653D"/>
    <w:rsid w:val="00010A24"/>
    <w:rsid w:val="00014E8B"/>
    <w:rsid w:val="00016E5C"/>
    <w:rsid w:val="0002080F"/>
    <w:rsid w:val="0002244D"/>
    <w:rsid w:val="000226B0"/>
    <w:rsid w:val="0002749A"/>
    <w:rsid w:val="0002758D"/>
    <w:rsid w:val="00031A39"/>
    <w:rsid w:val="000320DA"/>
    <w:rsid w:val="0003471D"/>
    <w:rsid w:val="000430FD"/>
    <w:rsid w:val="0004322E"/>
    <w:rsid w:val="000441FB"/>
    <w:rsid w:val="00046713"/>
    <w:rsid w:val="00051358"/>
    <w:rsid w:val="00052E5F"/>
    <w:rsid w:val="0005680F"/>
    <w:rsid w:val="00062E85"/>
    <w:rsid w:val="0006450E"/>
    <w:rsid w:val="00065ED1"/>
    <w:rsid w:val="0007585F"/>
    <w:rsid w:val="00077500"/>
    <w:rsid w:val="000805D2"/>
    <w:rsid w:val="000831C2"/>
    <w:rsid w:val="00083381"/>
    <w:rsid w:val="000846E9"/>
    <w:rsid w:val="0009132D"/>
    <w:rsid w:val="00091D53"/>
    <w:rsid w:val="000946FB"/>
    <w:rsid w:val="000961EB"/>
    <w:rsid w:val="000A09F2"/>
    <w:rsid w:val="000A1AF2"/>
    <w:rsid w:val="000A22EC"/>
    <w:rsid w:val="000A3427"/>
    <w:rsid w:val="000A5339"/>
    <w:rsid w:val="000B4D1A"/>
    <w:rsid w:val="000B661D"/>
    <w:rsid w:val="000C14E8"/>
    <w:rsid w:val="000C1ECC"/>
    <w:rsid w:val="000E1C13"/>
    <w:rsid w:val="000E2D56"/>
    <w:rsid w:val="000F4F67"/>
    <w:rsid w:val="00101D10"/>
    <w:rsid w:val="001066FB"/>
    <w:rsid w:val="001114A0"/>
    <w:rsid w:val="001114E4"/>
    <w:rsid w:val="0011577A"/>
    <w:rsid w:val="00121EA1"/>
    <w:rsid w:val="00122081"/>
    <w:rsid w:val="00122DDC"/>
    <w:rsid w:val="001277F5"/>
    <w:rsid w:val="001311DC"/>
    <w:rsid w:val="00131E88"/>
    <w:rsid w:val="00132F58"/>
    <w:rsid w:val="0014161C"/>
    <w:rsid w:val="00143741"/>
    <w:rsid w:val="001459AA"/>
    <w:rsid w:val="001477AF"/>
    <w:rsid w:val="00150D7B"/>
    <w:rsid w:val="0016644A"/>
    <w:rsid w:val="001676D9"/>
    <w:rsid w:val="00175623"/>
    <w:rsid w:val="001842E3"/>
    <w:rsid w:val="00184D5E"/>
    <w:rsid w:val="0019221B"/>
    <w:rsid w:val="00192A7E"/>
    <w:rsid w:val="0019480F"/>
    <w:rsid w:val="001965E7"/>
    <w:rsid w:val="001A3B47"/>
    <w:rsid w:val="001A6C9F"/>
    <w:rsid w:val="001B5EF2"/>
    <w:rsid w:val="001C2403"/>
    <w:rsid w:val="001C38DB"/>
    <w:rsid w:val="001C5557"/>
    <w:rsid w:val="001C7775"/>
    <w:rsid w:val="001C78C7"/>
    <w:rsid w:val="001D03AA"/>
    <w:rsid w:val="001D0D1C"/>
    <w:rsid w:val="001D357F"/>
    <w:rsid w:val="001D4987"/>
    <w:rsid w:val="001D5AA0"/>
    <w:rsid w:val="001D7850"/>
    <w:rsid w:val="001E021B"/>
    <w:rsid w:val="001F1AD0"/>
    <w:rsid w:val="001F4791"/>
    <w:rsid w:val="0020021C"/>
    <w:rsid w:val="002020BB"/>
    <w:rsid w:val="00205AF8"/>
    <w:rsid w:val="00207930"/>
    <w:rsid w:val="002105C0"/>
    <w:rsid w:val="00214F23"/>
    <w:rsid w:val="00221B5D"/>
    <w:rsid w:val="00222E9B"/>
    <w:rsid w:val="00224E71"/>
    <w:rsid w:val="00225857"/>
    <w:rsid w:val="002329D5"/>
    <w:rsid w:val="002355B4"/>
    <w:rsid w:val="00237B92"/>
    <w:rsid w:val="00241570"/>
    <w:rsid w:val="00243721"/>
    <w:rsid w:val="00247FB9"/>
    <w:rsid w:val="002712FA"/>
    <w:rsid w:val="00275417"/>
    <w:rsid w:val="00276767"/>
    <w:rsid w:val="00283346"/>
    <w:rsid w:val="0028656C"/>
    <w:rsid w:val="00290B2C"/>
    <w:rsid w:val="00290F4E"/>
    <w:rsid w:val="00291BD3"/>
    <w:rsid w:val="00297E54"/>
    <w:rsid w:val="002A2683"/>
    <w:rsid w:val="002A7D4F"/>
    <w:rsid w:val="002A7F36"/>
    <w:rsid w:val="002B0CAF"/>
    <w:rsid w:val="002B2D30"/>
    <w:rsid w:val="002B4C1D"/>
    <w:rsid w:val="002B6741"/>
    <w:rsid w:val="002B698C"/>
    <w:rsid w:val="002B7AFE"/>
    <w:rsid w:val="002C25EC"/>
    <w:rsid w:val="002C5361"/>
    <w:rsid w:val="002C61FF"/>
    <w:rsid w:val="002C651D"/>
    <w:rsid w:val="002C6C7D"/>
    <w:rsid w:val="002D2079"/>
    <w:rsid w:val="002D2297"/>
    <w:rsid w:val="002D3202"/>
    <w:rsid w:val="002D5F5D"/>
    <w:rsid w:val="002E1211"/>
    <w:rsid w:val="002F08AD"/>
    <w:rsid w:val="002F4AA9"/>
    <w:rsid w:val="00305883"/>
    <w:rsid w:val="00305D8B"/>
    <w:rsid w:val="003070C4"/>
    <w:rsid w:val="003135C9"/>
    <w:rsid w:val="003151A0"/>
    <w:rsid w:val="00317319"/>
    <w:rsid w:val="00323403"/>
    <w:rsid w:val="0032664C"/>
    <w:rsid w:val="00326872"/>
    <w:rsid w:val="003311AE"/>
    <w:rsid w:val="00343D7D"/>
    <w:rsid w:val="00343E7F"/>
    <w:rsid w:val="00350F0D"/>
    <w:rsid w:val="003516D2"/>
    <w:rsid w:val="003541AC"/>
    <w:rsid w:val="00354B32"/>
    <w:rsid w:val="003550A7"/>
    <w:rsid w:val="00357405"/>
    <w:rsid w:val="003650B2"/>
    <w:rsid w:val="003702E8"/>
    <w:rsid w:val="00373F2C"/>
    <w:rsid w:val="00375945"/>
    <w:rsid w:val="00381F8E"/>
    <w:rsid w:val="00383D5F"/>
    <w:rsid w:val="00384C7A"/>
    <w:rsid w:val="00390244"/>
    <w:rsid w:val="00392909"/>
    <w:rsid w:val="003942DA"/>
    <w:rsid w:val="00395D29"/>
    <w:rsid w:val="00396011"/>
    <w:rsid w:val="0039739E"/>
    <w:rsid w:val="003A214B"/>
    <w:rsid w:val="003A25FF"/>
    <w:rsid w:val="003A4FEB"/>
    <w:rsid w:val="003B1EEC"/>
    <w:rsid w:val="003B4FD3"/>
    <w:rsid w:val="003B696F"/>
    <w:rsid w:val="003C00C2"/>
    <w:rsid w:val="003C081A"/>
    <w:rsid w:val="003C38EF"/>
    <w:rsid w:val="003C7609"/>
    <w:rsid w:val="003D0B7E"/>
    <w:rsid w:val="003D13D3"/>
    <w:rsid w:val="003D252E"/>
    <w:rsid w:val="003D3DA6"/>
    <w:rsid w:val="003D6370"/>
    <w:rsid w:val="003E5023"/>
    <w:rsid w:val="003E6268"/>
    <w:rsid w:val="003F2679"/>
    <w:rsid w:val="003F2EDA"/>
    <w:rsid w:val="003F4022"/>
    <w:rsid w:val="003F49C3"/>
    <w:rsid w:val="003F4AF4"/>
    <w:rsid w:val="003F5E62"/>
    <w:rsid w:val="003F6A06"/>
    <w:rsid w:val="003F7FB9"/>
    <w:rsid w:val="00400F68"/>
    <w:rsid w:val="0040113B"/>
    <w:rsid w:val="00407926"/>
    <w:rsid w:val="00411AFB"/>
    <w:rsid w:val="0042131F"/>
    <w:rsid w:val="00424BD3"/>
    <w:rsid w:val="00432041"/>
    <w:rsid w:val="00435A21"/>
    <w:rsid w:val="004419BF"/>
    <w:rsid w:val="00447761"/>
    <w:rsid w:val="00451AC0"/>
    <w:rsid w:val="00453B33"/>
    <w:rsid w:val="0046329F"/>
    <w:rsid w:val="004635E5"/>
    <w:rsid w:val="004646F2"/>
    <w:rsid w:val="0046510E"/>
    <w:rsid w:val="00466084"/>
    <w:rsid w:val="004724D5"/>
    <w:rsid w:val="00477079"/>
    <w:rsid w:val="004808ED"/>
    <w:rsid w:val="00481C0F"/>
    <w:rsid w:val="00481CE3"/>
    <w:rsid w:val="004862DF"/>
    <w:rsid w:val="004874F9"/>
    <w:rsid w:val="00490862"/>
    <w:rsid w:val="004918F9"/>
    <w:rsid w:val="004A1EF9"/>
    <w:rsid w:val="004A4341"/>
    <w:rsid w:val="004A4D0C"/>
    <w:rsid w:val="004A554F"/>
    <w:rsid w:val="004A5BFA"/>
    <w:rsid w:val="004A77F0"/>
    <w:rsid w:val="004B2896"/>
    <w:rsid w:val="004B4DED"/>
    <w:rsid w:val="004B4E6F"/>
    <w:rsid w:val="004C55B4"/>
    <w:rsid w:val="004D3B1F"/>
    <w:rsid w:val="004D76D7"/>
    <w:rsid w:val="004E09F0"/>
    <w:rsid w:val="004E3F7D"/>
    <w:rsid w:val="004E5B1B"/>
    <w:rsid w:val="004E7F99"/>
    <w:rsid w:val="004F06A7"/>
    <w:rsid w:val="004F19B2"/>
    <w:rsid w:val="004F20E9"/>
    <w:rsid w:val="0050000B"/>
    <w:rsid w:val="0050261B"/>
    <w:rsid w:val="005073E0"/>
    <w:rsid w:val="005107DF"/>
    <w:rsid w:val="00512AD6"/>
    <w:rsid w:val="00514014"/>
    <w:rsid w:val="00534AC2"/>
    <w:rsid w:val="00537C9E"/>
    <w:rsid w:val="00541905"/>
    <w:rsid w:val="00542D0E"/>
    <w:rsid w:val="005474AB"/>
    <w:rsid w:val="00547DD9"/>
    <w:rsid w:val="00562AAD"/>
    <w:rsid w:val="00566F60"/>
    <w:rsid w:val="005704A0"/>
    <w:rsid w:val="005727CF"/>
    <w:rsid w:val="0057360B"/>
    <w:rsid w:val="00574822"/>
    <w:rsid w:val="00574AEC"/>
    <w:rsid w:val="00575ED9"/>
    <w:rsid w:val="00576317"/>
    <w:rsid w:val="00576FA3"/>
    <w:rsid w:val="005816DD"/>
    <w:rsid w:val="00582E39"/>
    <w:rsid w:val="0059131F"/>
    <w:rsid w:val="00593AC7"/>
    <w:rsid w:val="00594845"/>
    <w:rsid w:val="00595AA4"/>
    <w:rsid w:val="005A19EE"/>
    <w:rsid w:val="005A3A26"/>
    <w:rsid w:val="005A3EF5"/>
    <w:rsid w:val="005A517A"/>
    <w:rsid w:val="005A630D"/>
    <w:rsid w:val="005B0BC4"/>
    <w:rsid w:val="005B1449"/>
    <w:rsid w:val="005B3552"/>
    <w:rsid w:val="005B4EE0"/>
    <w:rsid w:val="005B749F"/>
    <w:rsid w:val="005C2538"/>
    <w:rsid w:val="005C3678"/>
    <w:rsid w:val="005C492F"/>
    <w:rsid w:val="005D07AC"/>
    <w:rsid w:val="005D0997"/>
    <w:rsid w:val="005D0AE1"/>
    <w:rsid w:val="005D4758"/>
    <w:rsid w:val="005D4ED4"/>
    <w:rsid w:val="005E0BB7"/>
    <w:rsid w:val="005E26FB"/>
    <w:rsid w:val="005E3A85"/>
    <w:rsid w:val="005E5244"/>
    <w:rsid w:val="005F1B0C"/>
    <w:rsid w:val="005F1CE7"/>
    <w:rsid w:val="005F1D37"/>
    <w:rsid w:val="005F784A"/>
    <w:rsid w:val="005F7CB6"/>
    <w:rsid w:val="006025F3"/>
    <w:rsid w:val="00603FD0"/>
    <w:rsid w:val="006051B7"/>
    <w:rsid w:val="00611267"/>
    <w:rsid w:val="0061792E"/>
    <w:rsid w:val="006217AD"/>
    <w:rsid w:val="006256AE"/>
    <w:rsid w:val="00625CF5"/>
    <w:rsid w:val="00630ABC"/>
    <w:rsid w:val="00640072"/>
    <w:rsid w:val="0065187A"/>
    <w:rsid w:val="00651ECD"/>
    <w:rsid w:val="0065494F"/>
    <w:rsid w:val="00657B0B"/>
    <w:rsid w:val="006601FA"/>
    <w:rsid w:val="006756A4"/>
    <w:rsid w:val="00675767"/>
    <w:rsid w:val="006841AE"/>
    <w:rsid w:val="00684F7C"/>
    <w:rsid w:val="006866DA"/>
    <w:rsid w:val="00686841"/>
    <w:rsid w:val="00693441"/>
    <w:rsid w:val="00696C75"/>
    <w:rsid w:val="006B20BE"/>
    <w:rsid w:val="006B28A0"/>
    <w:rsid w:val="006B3D0F"/>
    <w:rsid w:val="006B6E3D"/>
    <w:rsid w:val="006B7114"/>
    <w:rsid w:val="006C2032"/>
    <w:rsid w:val="006C2389"/>
    <w:rsid w:val="006D0FC1"/>
    <w:rsid w:val="006D203C"/>
    <w:rsid w:val="006D46E8"/>
    <w:rsid w:val="006E3D36"/>
    <w:rsid w:val="006F0711"/>
    <w:rsid w:val="006F7937"/>
    <w:rsid w:val="006F7FFA"/>
    <w:rsid w:val="00707739"/>
    <w:rsid w:val="007126C9"/>
    <w:rsid w:val="00713B45"/>
    <w:rsid w:val="00726C2F"/>
    <w:rsid w:val="007275B6"/>
    <w:rsid w:val="0073061D"/>
    <w:rsid w:val="00730B79"/>
    <w:rsid w:val="00732147"/>
    <w:rsid w:val="00732A8F"/>
    <w:rsid w:val="007331A3"/>
    <w:rsid w:val="0075018B"/>
    <w:rsid w:val="00752A91"/>
    <w:rsid w:val="00755845"/>
    <w:rsid w:val="00757D18"/>
    <w:rsid w:val="00760F29"/>
    <w:rsid w:val="0076601F"/>
    <w:rsid w:val="00766C5A"/>
    <w:rsid w:val="00785800"/>
    <w:rsid w:val="00787D05"/>
    <w:rsid w:val="007922DD"/>
    <w:rsid w:val="0079271B"/>
    <w:rsid w:val="00793A8F"/>
    <w:rsid w:val="0079501E"/>
    <w:rsid w:val="007A3E94"/>
    <w:rsid w:val="007A4B53"/>
    <w:rsid w:val="007A7738"/>
    <w:rsid w:val="007B5855"/>
    <w:rsid w:val="007C62A9"/>
    <w:rsid w:val="007C79E1"/>
    <w:rsid w:val="007D1D56"/>
    <w:rsid w:val="007D4C57"/>
    <w:rsid w:val="007D7C2D"/>
    <w:rsid w:val="007F129F"/>
    <w:rsid w:val="007F2F18"/>
    <w:rsid w:val="007F6804"/>
    <w:rsid w:val="008037DC"/>
    <w:rsid w:val="0080554A"/>
    <w:rsid w:val="00805D41"/>
    <w:rsid w:val="008100BE"/>
    <w:rsid w:val="0081221B"/>
    <w:rsid w:val="0082710D"/>
    <w:rsid w:val="008272EF"/>
    <w:rsid w:val="008318F7"/>
    <w:rsid w:val="00837DBA"/>
    <w:rsid w:val="00844651"/>
    <w:rsid w:val="0084526D"/>
    <w:rsid w:val="00863B0F"/>
    <w:rsid w:val="008707EF"/>
    <w:rsid w:val="00876726"/>
    <w:rsid w:val="00880A0D"/>
    <w:rsid w:val="00883F73"/>
    <w:rsid w:val="008857A0"/>
    <w:rsid w:val="00894DC8"/>
    <w:rsid w:val="00896703"/>
    <w:rsid w:val="00897642"/>
    <w:rsid w:val="008A13BF"/>
    <w:rsid w:val="008A3A1B"/>
    <w:rsid w:val="008A5BD6"/>
    <w:rsid w:val="008A6DC4"/>
    <w:rsid w:val="008A7440"/>
    <w:rsid w:val="008B012A"/>
    <w:rsid w:val="008B0E1E"/>
    <w:rsid w:val="008C182E"/>
    <w:rsid w:val="008C19F7"/>
    <w:rsid w:val="008C2CEA"/>
    <w:rsid w:val="008C3C39"/>
    <w:rsid w:val="008D2A81"/>
    <w:rsid w:val="008D5AB4"/>
    <w:rsid w:val="008E3E13"/>
    <w:rsid w:val="008E7B71"/>
    <w:rsid w:val="008F60FF"/>
    <w:rsid w:val="00911B94"/>
    <w:rsid w:val="00911D8C"/>
    <w:rsid w:val="00913A85"/>
    <w:rsid w:val="00922CF4"/>
    <w:rsid w:val="009351C1"/>
    <w:rsid w:val="00936F49"/>
    <w:rsid w:val="00941D59"/>
    <w:rsid w:val="009452A8"/>
    <w:rsid w:val="009565CB"/>
    <w:rsid w:val="00956A65"/>
    <w:rsid w:val="00957382"/>
    <w:rsid w:val="00965794"/>
    <w:rsid w:val="00965D45"/>
    <w:rsid w:val="009765D7"/>
    <w:rsid w:val="0098208E"/>
    <w:rsid w:val="00984BCA"/>
    <w:rsid w:val="009860A0"/>
    <w:rsid w:val="009863D9"/>
    <w:rsid w:val="0099067F"/>
    <w:rsid w:val="00991D5A"/>
    <w:rsid w:val="0099746F"/>
    <w:rsid w:val="009A0BB4"/>
    <w:rsid w:val="009A5F08"/>
    <w:rsid w:val="009B089C"/>
    <w:rsid w:val="009C5C6A"/>
    <w:rsid w:val="009D1710"/>
    <w:rsid w:val="009D6CB8"/>
    <w:rsid w:val="009E248A"/>
    <w:rsid w:val="009F2C85"/>
    <w:rsid w:val="009F3EFC"/>
    <w:rsid w:val="009F4CFC"/>
    <w:rsid w:val="009F5E5E"/>
    <w:rsid w:val="00A014FE"/>
    <w:rsid w:val="00A1108B"/>
    <w:rsid w:val="00A146DE"/>
    <w:rsid w:val="00A203F6"/>
    <w:rsid w:val="00A23A7A"/>
    <w:rsid w:val="00A54A79"/>
    <w:rsid w:val="00A651B5"/>
    <w:rsid w:val="00A769FB"/>
    <w:rsid w:val="00A85538"/>
    <w:rsid w:val="00A906D1"/>
    <w:rsid w:val="00A9138F"/>
    <w:rsid w:val="00A92FE8"/>
    <w:rsid w:val="00A979C7"/>
    <w:rsid w:val="00AA47DE"/>
    <w:rsid w:val="00AA7E85"/>
    <w:rsid w:val="00AB016C"/>
    <w:rsid w:val="00AB4B32"/>
    <w:rsid w:val="00AB5B11"/>
    <w:rsid w:val="00AB77FC"/>
    <w:rsid w:val="00AC4F86"/>
    <w:rsid w:val="00AD1F36"/>
    <w:rsid w:val="00AD298F"/>
    <w:rsid w:val="00AD42AC"/>
    <w:rsid w:val="00AD6EC1"/>
    <w:rsid w:val="00AD7B92"/>
    <w:rsid w:val="00AE433D"/>
    <w:rsid w:val="00AF43F5"/>
    <w:rsid w:val="00AF5AD4"/>
    <w:rsid w:val="00AF76F7"/>
    <w:rsid w:val="00B04BA5"/>
    <w:rsid w:val="00B07036"/>
    <w:rsid w:val="00B07E5F"/>
    <w:rsid w:val="00B07FFC"/>
    <w:rsid w:val="00B102B4"/>
    <w:rsid w:val="00B10ABD"/>
    <w:rsid w:val="00B11FC1"/>
    <w:rsid w:val="00B16075"/>
    <w:rsid w:val="00B2391F"/>
    <w:rsid w:val="00B3101A"/>
    <w:rsid w:val="00B322F7"/>
    <w:rsid w:val="00B42758"/>
    <w:rsid w:val="00B42F15"/>
    <w:rsid w:val="00B43328"/>
    <w:rsid w:val="00B443FE"/>
    <w:rsid w:val="00B45391"/>
    <w:rsid w:val="00B51947"/>
    <w:rsid w:val="00B52A92"/>
    <w:rsid w:val="00B530A5"/>
    <w:rsid w:val="00B5338D"/>
    <w:rsid w:val="00B543AF"/>
    <w:rsid w:val="00B55B68"/>
    <w:rsid w:val="00B57F27"/>
    <w:rsid w:val="00B625BC"/>
    <w:rsid w:val="00B71B4A"/>
    <w:rsid w:val="00B848AA"/>
    <w:rsid w:val="00B86F7D"/>
    <w:rsid w:val="00B917A7"/>
    <w:rsid w:val="00BA01A3"/>
    <w:rsid w:val="00BA1279"/>
    <w:rsid w:val="00BA4C17"/>
    <w:rsid w:val="00BB2B3E"/>
    <w:rsid w:val="00BB383E"/>
    <w:rsid w:val="00BB42E9"/>
    <w:rsid w:val="00BB5865"/>
    <w:rsid w:val="00BE1AAD"/>
    <w:rsid w:val="00BE43A9"/>
    <w:rsid w:val="00BE48C2"/>
    <w:rsid w:val="00BF0DC0"/>
    <w:rsid w:val="00BF2637"/>
    <w:rsid w:val="00C113A7"/>
    <w:rsid w:val="00C148DB"/>
    <w:rsid w:val="00C2314A"/>
    <w:rsid w:val="00C3002C"/>
    <w:rsid w:val="00C34E0C"/>
    <w:rsid w:val="00C35A3A"/>
    <w:rsid w:val="00C377E5"/>
    <w:rsid w:val="00C378D6"/>
    <w:rsid w:val="00C4112F"/>
    <w:rsid w:val="00C414FA"/>
    <w:rsid w:val="00C47163"/>
    <w:rsid w:val="00C51A6B"/>
    <w:rsid w:val="00C568C7"/>
    <w:rsid w:val="00C6225D"/>
    <w:rsid w:val="00C67693"/>
    <w:rsid w:val="00C71EAC"/>
    <w:rsid w:val="00C77EF2"/>
    <w:rsid w:val="00C96D9E"/>
    <w:rsid w:val="00CA2C32"/>
    <w:rsid w:val="00CA514F"/>
    <w:rsid w:val="00CB12D4"/>
    <w:rsid w:val="00CC304F"/>
    <w:rsid w:val="00CC366E"/>
    <w:rsid w:val="00CC3790"/>
    <w:rsid w:val="00CC49D1"/>
    <w:rsid w:val="00CC5D0E"/>
    <w:rsid w:val="00CC7037"/>
    <w:rsid w:val="00CD5704"/>
    <w:rsid w:val="00CD79FF"/>
    <w:rsid w:val="00CE399D"/>
    <w:rsid w:val="00CE7A8A"/>
    <w:rsid w:val="00CF2520"/>
    <w:rsid w:val="00CF74F8"/>
    <w:rsid w:val="00D00659"/>
    <w:rsid w:val="00D021CF"/>
    <w:rsid w:val="00D03ADB"/>
    <w:rsid w:val="00D03C19"/>
    <w:rsid w:val="00D03D7A"/>
    <w:rsid w:val="00D041A3"/>
    <w:rsid w:val="00D15B9B"/>
    <w:rsid w:val="00D20106"/>
    <w:rsid w:val="00D27B58"/>
    <w:rsid w:val="00D30573"/>
    <w:rsid w:val="00D313EE"/>
    <w:rsid w:val="00D335D1"/>
    <w:rsid w:val="00D33FF8"/>
    <w:rsid w:val="00D478F6"/>
    <w:rsid w:val="00D5071D"/>
    <w:rsid w:val="00D56120"/>
    <w:rsid w:val="00D57052"/>
    <w:rsid w:val="00D57642"/>
    <w:rsid w:val="00D6148C"/>
    <w:rsid w:val="00D640AB"/>
    <w:rsid w:val="00D64663"/>
    <w:rsid w:val="00D91FDE"/>
    <w:rsid w:val="00D93341"/>
    <w:rsid w:val="00D95664"/>
    <w:rsid w:val="00D9592E"/>
    <w:rsid w:val="00D96E4D"/>
    <w:rsid w:val="00D974EE"/>
    <w:rsid w:val="00DA3D6F"/>
    <w:rsid w:val="00DA5D36"/>
    <w:rsid w:val="00DB2F07"/>
    <w:rsid w:val="00DB41AB"/>
    <w:rsid w:val="00DB4B82"/>
    <w:rsid w:val="00DB63E1"/>
    <w:rsid w:val="00DB6E9A"/>
    <w:rsid w:val="00DB7732"/>
    <w:rsid w:val="00DD0217"/>
    <w:rsid w:val="00DD168A"/>
    <w:rsid w:val="00DD449F"/>
    <w:rsid w:val="00DD7212"/>
    <w:rsid w:val="00DE2666"/>
    <w:rsid w:val="00DE5CD3"/>
    <w:rsid w:val="00DF1429"/>
    <w:rsid w:val="00DF2B9E"/>
    <w:rsid w:val="00E119BF"/>
    <w:rsid w:val="00E14F9F"/>
    <w:rsid w:val="00E21F37"/>
    <w:rsid w:val="00E25410"/>
    <w:rsid w:val="00E27689"/>
    <w:rsid w:val="00E277C3"/>
    <w:rsid w:val="00E32597"/>
    <w:rsid w:val="00E34DCC"/>
    <w:rsid w:val="00E37586"/>
    <w:rsid w:val="00E40425"/>
    <w:rsid w:val="00E407B6"/>
    <w:rsid w:val="00E53042"/>
    <w:rsid w:val="00E55978"/>
    <w:rsid w:val="00E61A0B"/>
    <w:rsid w:val="00E62948"/>
    <w:rsid w:val="00E63111"/>
    <w:rsid w:val="00E65258"/>
    <w:rsid w:val="00E6783B"/>
    <w:rsid w:val="00E70EB1"/>
    <w:rsid w:val="00E7446D"/>
    <w:rsid w:val="00E758AA"/>
    <w:rsid w:val="00E77149"/>
    <w:rsid w:val="00E805D2"/>
    <w:rsid w:val="00E86833"/>
    <w:rsid w:val="00E92982"/>
    <w:rsid w:val="00EA56C2"/>
    <w:rsid w:val="00EB0EB8"/>
    <w:rsid w:val="00EB3567"/>
    <w:rsid w:val="00EB3B6F"/>
    <w:rsid w:val="00EB754D"/>
    <w:rsid w:val="00EC1BB9"/>
    <w:rsid w:val="00EC2B5D"/>
    <w:rsid w:val="00EC40B7"/>
    <w:rsid w:val="00ED2347"/>
    <w:rsid w:val="00ED4F3F"/>
    <w:rsid w:val="00ED58FB"/>
    <w:rsid w:val="00EE2ED5"/>
    <w:rsid w:val="00EE3146"/>
    <w:rsid w:val="00EE5661"/>
    <w:rsid w:val="00EE5C43"/>
    <w:rsid w:val="00EE6AF4"/>
    <w:rsid w:val="00EF0079"/>
    <w:rsid w:val="00EF0300"/>
    <w:rsid w:val="00EF0790"/>
    <w:rsid w:val="00EF239B"/>
    <w:rsid w:val="00EF3E00"/>
    <w:rsid w:val="00EF4E6E"/>
    <w:rsid w:val="00EF617E"/>
    <w:rsid w:val="00F01560"/>
    <w:rsid w:val="00F04FB2"/>
    <w:rsid w:val="00F076ED"/>
    <w:rsid w:val="00F21ADC"/>
    <w:rsid w:val="00F34AF6"/>
    <w:rsid w:val="00F42030"/>
    <w:rsid w:val="00F613DE"/>
    <w:rsid w:val="00F64D9A"/>
    <w:rsid w:val="00F73160"/>
    <w:rsid w:val="00F75A4F"/>
    <w:rsid w:val="00F771DD"/>
    <w:rsid w:val="00F80C3E"/>
    <w:rsid w:val="00F81C22"/>
    <w:rsid w:val="00F84417"/>
    <w:rsid w:val="00F84AEA"/>
    <w:rsid w:val="00F866B8"/>
    <w:rsid w:val="00F93EBB"/>
    <w:rsid w:val="00F96F07"/>
    <w:rsid w:val="00FA004F"/>
    <w:rsid w:val="00FA345A"/>
    <w:rsid w:val="00FA4FF8"/>
    <w:rsid w:val="00FA53D3"/>
    <w:rsid w:val="00FA58CF"/>
    <w:rsid w:val="00FA753D"/>
    <w:rsid w:val="00FB0D39"/>
    <w:rsid w:val="00FB2448"/>
    <w:rsid w:val="00FB2639"/>
    <w:rsid w:val="00FB26B2"/>
    <w:rsid w:val="00FC00CE"/>
    <w:rsid w:val="00FC25D7"/>
    <w:rsid w:val="00FC49CD"/>
    <w:rsid w:val="00FC665B"/>
    <w:rsid w:val="00FD56D3"/>
    <w:rsid w:val="00FD7936"/>
    <w:rsid w:val="00FE0B41"/>
    <w:rsid w:val="00FE5A97"/>
    <w:rsid w:val="00FF0B9A"/>
    <w:rsid w:val="00FF0F4B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34A61-84EB-4A04-B01E-757BAED0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684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6841"/>
  </w:style>
  <w:style w:type="character" w:styleId="a5">
    <w:name w:val="Hyperlink"/>
    <w:rsid w:val="00290F4E"/>
    <w:rPr>
      <w:color w:val="0000FF"/>
      <w:u w:val="single"/>
    </w:rPr>
  </w:style>
  <w:style w:type="paragraph" w:styleId="a6">
    <w:name w:val="header"/>
    <w:basedOn w:val="a"/>
    <w:rsid w:val="00D335D1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35A3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C35A3A"/>
    <w:pPr>
      <w:spacing w:line="264" w:lineRule="auto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8"/>
    <w:rsid w:val="00C35A3A"/>
    <w:rPr>
      <w:sz w:val="28"/>
      <w:szCs w:val="24"/>
    </w:rPr>
  </w:style>
  <w:style w:type="paragraph" w:styleId="aa">
    <w:name w:val="List Paragraph"/>
    <w:basedOn w:val="a"/>
    <w:uiPriority w:val="34"/>
    <w:qFormat/>
    <w:rsid w:val="00C35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3">
    <w:name w:val="123"/>
    <w:basedOn w:val="a"/>
    <w:link w:val="1230"/>
    <w:rsid w:val="00C35A3A"/>
    <w:pPr>
      <w:spacing w:before="120"/>
      <w:ind w:firstLine="720"/>
      <w:jc w:val="both"/>
    </w:pPr>
  </w:style>
  <w:style w:type="character" w:customStyle="1" w:styleId="1230">
    <w:name w:val="123 Знак"/>
    <w:link w:val="123"/>
    <w:locked/>
    <w:rsid w:val="00C35A3A"/>
    <w:rPr>
      <w:sz w:val="24"/>
      <w:szCs w:val="24"/>
    </w:rPr>
  </w:style>
  <w:style w:type="paragraph" w:customStyle="1" w:styleId="21">
    <w:name w:val="Основной текст с отступом 21"/>
    <w:basedOn w:val="a"/>
    <w:rsid w:val="00C35A3A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732A8F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rFonts w:ascii="Calibri" w:eastAsia="Calibri" w:hAnsi="Calibri"/>
      <w:szCs w:val="20"/>
    </w:rPr>
  </w:style>
  <w:style w:type="paragraph" w:styleId="ab">
    <w:name w:val="Normal (Web)"/>
    <w:basedOn w:val="a"/>
    <w:uiPriority w:val="99"/>
    <w:rsid w:val="006D203C"/>
    <w:pPr>
      <w:spacing w:before="100" w:beforeAutospacing="1" w:after="100" w:afterAutospacing="1"/>
    </w:pPr>
    <w:rPr>
      <w:rFonts w:ascii="Tahoma" w:eastAsia="SimSun" w:hAnsi="Tahoma" w:cs="Tahoma"/>
      <w:color w:val="49463D"/>
      <w:sz w:val="17"/>
      <w:szCs w:val="17"/>
    </w:rPr>
  </w:style>
  <w:style w:type="paragraph" w:styleId="ac">
    <w:name w:val="caption"/>
    <w:basedOn w:val="a"/>
    <w:next w:val="a"/>
    <w:uiPriority w:val="35"/>
    <w:unhideWhenUsed/>
    <w:qFormat/>
    <w:rsid w:val="006D203C"/>
    <w:pPr>
      <w:spacing w:after="200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  <w:style w:type="table" w:styleId="ad">
    <w:name w:val="Table Grid"/>
    <w:basedOn w:val="a1"/>
    <w:uiPriority w:val="39"/>
    <w:rsid w:val="002B4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albina\Desktop\&#1084;&#1072;&#1075;%20&#1076;&#1080;&#1089;&#1089;&#1077;&#1088;\&#1088;&#1077;&#1080;&#774;&#1090;&#1080;&#1085;&#1075;&#1080;%20&#1076;&#1080;&#1089;&#1089;&#1077;&#1088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albina\Desktop\&#1084;&#1072;&#1075;%20&#1076;&#1080;&#1089;&#1089;&#1077;&#1088;\&#1088;&#1077;&#1080;&#774;&#1090;&#1080;&#1085;&#1075;&#1080;%20&#1076;&#1080;&#1089;&#1089;&#1077;&#1088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50703810538534E-2"/>
          <c:y val="9.9940967586664126E-2"/>
          <c:w val="0.42525436795648069"/>
          <c:h val="0.89170985114749934"/>
        </c:manualLayout>
      </c:layout>
      <c:pie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0-7CF5-48F6-8B4C-C960F62ECA89}"/>
              </c:ext>
            </c:extLst>
          </c:dPt>
          <c:dPt>
            <c:idx val="1"/>
            <c:bubble3D val="0"/>
            <c:spPr>
              <a:solidFill>
                <a:schemeClr val="dk1">
                  <a:tint val="55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7CF5-48F6-8B4C-C960F62ECA89}"/>
              </c:ext>
            </c:extLst>
          </c:dPt>
          <c:dPt>
            <c:idx val="2"/>
            <c:bubble3D val="0"/>
            <c:spPr>
              <a:solidFill>
                <a:schemeClr val="dk1">
                  <a:tint val="75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2-7CF5-48F6-8B4C-C960F62ECA89}"/>
              </c:ext>
            </c:extLst>
          </c:dPt>
          <c:dPt>
            <c:idx val="3"/>
            <c:bubble3D val="0"/>
            <c:spPr>
              <a:solidFill>
                <a:schemeClr val="dk1">
                  <a:tint val="985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7-D0F9-4F6C-B4AA-208D0531F3BC}"/>
              </c:ext>
            </c:extLst>
          </c:dPt>
          <c:dPt>
            <c:idx val="4"/>
            <c:bubble3D val="0"/>
            <c:spPr>
              <a:solidFill>
                <a:schemeClr val="dk1">
                  <a:tint val="30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7CF5-48F6-8B4C-C960F62ECA89}"/>
              </c:ext>
            </c:extLst>
          </c:dPt>
          <c:dPt>
            <c:idx val="5"/>
            <c:bubble3D val="0"/>
            <c:spPr>
              <a:solidFill>
                <a:schemeClr val="dk1">
                  <a:tint val="60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B-D0F9-4F6C-B4AA-208D0531F3BC}"/>
              </c:ext>
            </c:extLst>
          </c:dPt>
          <c:dPt>
            <c:idx val="6"/>
            <c:bubble3D val="0"/>
            <c:spPr>
              <a:solidFill>
                <a:schemeClr val="dk1">
                  <a:tint val="80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7CF5-48F6-8B4C-C960F62ECA89}"/>
              </c:ext>
            </c:extLst>
          </c:dPt>
          <c:dPt>
            <c:idx val="7"/>
            <c:bubble3D val="0"/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F-D0F9-4F6C-B4AA-208D0531F3BC}"/>
              </c:ext>
            </c:extLst>
          </c:dPt>
          <c:dPt>
            <c:idx val="8"/>
            <c:bubble3D val="0"/>
            <c:spPr>
              <a:solidFill>
                <a:schemeClr val="dk1">
                  <a:tint val="55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1-D0F9-4F6C-B4AA-208D0531F3BC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43139E87-A525-1146-B713-9DB3E5B68522}" type="PERCENTAGE">
                      <a:rPr lang="en-US"/>
                      <a:pPr/>
                      <a:t>[ПРОЦЕНТ]</a:t>
                    </a:fld>
                    <a:endParaRPr lang="en-US"/>
                  </a:p>
                  <a:p>
                    <a:r>
                      <a:rPr lang="en-US"/>
                      <a:t>(4%)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separator>,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7CF5-48F6-8B4C-C960F62ECA89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C78585D0-83DB-4346-8BC5-B77A31DDA1B5}" type="PERCENTAGE">
                      <a:rPr lang="en-US"/>
                      <a:pPr/>
                      <a:t>[ПРОЦЕНТ]</a:t>
                    </a:fld>
                    <a:r>
                      <a:rPr lang="en-US"/>
                      <a:t> (72%)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separator>, 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CF5-48F6-8B4C-C960F62ECA89}"/>
                </c:ext>
              </c:extLst>
            </c:dLbl>
            <c:dLbl>
              <c:idx val="2"/>
              <c:layout>
                <c:manualLayout>
                  <c:x val="7.5809800664451824E-2"/>
                  <c:y val="2.16099297468056E-2"/>
                </c:manualLayout>
              </c:layout>
              <c:tx>
                <c:rich>
                  <a:bodyPr/>
                  <a:lstStyle/>
                  <a:p>
                    <a:fld id="{8E9C616C-D89B-6943-B3E6-3A33BC0CAE87}" type="PERCENTAGE">
                      <a:rPr lang="en-US"/>
                      <a:pPr/>
                      <a:t>[ПРОЦЕНТ]</a:t>
                    </a:fld>
                    <a:r>
                      <a:rPr lang="en-US"/>
                      <a:t> (6%)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7CF5-48F6-8B4C-C960F62ECA89}"/>
                </c:ext>
              </c:extLst>
            </c:dLbl>
            <c:dLbl>
              <c:idx val="4"/>
              <c:layout>
                <c:manualLayout>
                  <c:x val="8.2298506291364745E-2"/>
                  <c:y val="4.5918949502569667E-2"/>
                </c:manualLayout>
              </c:layout>
              <c:tx>
                <c:rich>
                  <a:bodyPr/>
                  <a:lstStyle/>
                  <a:p>
                    <a:fld id="{E62270EA-058D-B94E-94F2-91CB22B33953}" type="PERCENTAGE">
                      <a:rPr lang="en-US"/>
                      <a:pPr/>
                      <a:t>[ПРОЦЕНТ]</a:t>
                    </a:fld>
                    <a:r>
                      <a:rPr lang="en-US"/>
                      <a:t> (3%)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CF5-48F6-8B4C-C960F62ECA89}"/>
                </c:ext>
              </c:extLst>
            </c:dLbl>
            <c:dLbl>
              <c:idx val="6"/>
              <c:layout>
                <c:manualLayout>
                  <c:x val="9.2269289376618616E-2"/>
                  <c:y val="0.11890093828091848"/>
                </c:manualLayout>
              </c:layout>
              <c:tx>
                <c:rich>
                  <a:bodyPr/>
                  <a:lstStyle/>
                  <a:p>
                    <a:fld id="{8CA2BB57-F32B-8A40-8885-46696A70CEBB}" type="PERCENTAGE">
                      <a:rPr lang="en-US"/>
                      <a:pPr/>
                      <a:t>[ПРОЦЕНТ]</a:t>
                    </a:fld>
                    <a:r>
                      <a:rPr lang="en-US"/>
                      <a:t> (12%)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7CF5-48F6-8B4C-C960F62ECA8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6350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товары!$A$2:$A$10</c:f>
              <c:strCache>
                <c:ptCount val="9"/>
                <c:pt idx="0">
                  <c:v>Продовольственные товары и сельскохозяйственное сырье</c:v>
                </c:pt>
                <c:pt idx="1">
                  <c:v>Минеральные продукты</c:v>
                </c:pt>
                <c:pt idx="2">
                  <c:v>Продукция химической промышленности, каучук</c:v>
                </c:pt>
                <c:pt idx="3">
                  <c:v>Кожевенное сырье, пушнина и изделия из них</c:v>
                </c:pt>
                <c:pt idx="4">
                  <c:v>Древесина и целлюлозно-бумажные изделия</c:v>
                </c:pt>
                <c:pt idx="5">
                  <c:v>Текстиль, текстильные изделия и обувь</c:v>
                </c:pt>
                <c:pt idx="6">
                  <c:v>Металлы, драгоценные камни и изделия из них</c:v>
                </c:pt>
                <c:pt idx="7">
                  <c:v>Машины, оборудование и транспортные средства</c:v>
                </c:pt>
                <c:pt idx="8">
                  <c:v>Прочие товары</c:v>
                </c:pt>
              </c:strCache>
            </c:strRef>
          </c:cat>
          <c:val>
            <c:numRef>
              <c:f>товары!$B$2:$B$10</c:f>
              <c:numCache>
                <c:formatCode>0.0</c:formatCode>
                <c:ptCount val="9"/>
                <c:pt idx="0">
                  <c:v>5.5</c:v>
                </c:pt>
                <c:pt idx="1">
                  <c:v>69.2</c:v>
                </c:pt>
                <c:pt idx="2">
                  <c:v>5.2</c:v>
                </c:pt>
                <c:pt idx="3">
                  <c:v>0</c:v>
                </c:pt>
                <c:pt idx="4">
                  <c:v>5.2</c:v>
                </c:pt>
                <c:pt idx="5">
                  <c:v>0</c:v>
                </c:pt>
                <c:pt idx="6">
                  <c:v>13.3</c:v>
                </c:pt>
                <c:pt idx="7">
                  <c:v>1.3</c:v>
                </c:pt>
                <c:pt idx="8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CF5-48F6-8B4C-C960F62ECA8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846019247594048"/>
          <c:y val="2.8922631959508314E-2"/>
          <c:w val="0.42492849284928491"/>
          <c:h val="0.9710773728134282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lnSpc>
              <a:spcPct val="80000"/>
            </a:lnSpc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 sz="12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3.3710107844559627E-2"/>
          <c:y val="0.14652809812914797"/>
          <c:w val="0.40729227941984641"/>
          <c:h val="0.81869862226817602"/>
        </c:manualLayout>
      </c:layout>
      <c:pie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0-1E18-4B91-8B92-6318F0BF1598}"/>
              </c:ext>
            </c:extLst>
          </c:dPt>
          <c:dPt>
            <c:idx val="1"/>
            <c:bubble3D val="0"/>
            <c:spPr>
              <a:solidFill>
                <a:schemeClr val="dk1">
                  <a:tint val="55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CE48-4B77-876B-B6ECFBA1A230}"/>
              </c:ext>
            </c:extLst>
          </c:dPt>
          <c:dPt>
            <c:idx val="2"/>
            <c:bubble3D val="0"/>
            <c:spPr>
              <a:solidFill>
                <a:schemeClr val="dk1">
                  <a:tint val="75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1E18-4B91-8B92-6318F0BF1598}"/>
              </c:ext>
            </c:extLst>
          </c:dPt>
          <c:dPt>
            <c:idx val="3"/>
            <c:bubble3D val="0"/>
            <c:spPr>
              <a:solidFill>
                <a:schemeClr val="dk1">
                  <a:tint val="985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2-1E18-4B91-8B92-6318F0BF1598}"/>
              </c:ext>
            </c:extLst>
          </c:dPt>
          <c:dPt>
            <c:idx val="4"/>
            <c:bubble3D val="0"/>
            <c:spPr>
              <a:solidFill>
                <a:schemeClr val="dk1">
                  <a:tint val="30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9-CE48-4B77-876B-B6ECFBA1A230}"/>
              </c:ext>
            </c:extLst>
          </c:dPt>
          <c:dPt>
            <c:idx val="5"/>
            <c:bubble3D val="0"/>
            <c:spPr>
              <a:solidFill>
                <a:schemeClr val="dk1">
                  <a:tint val="60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1E18-4B91-8B92-6318F0BF1598}"/>
              </c:ext>
            </c:extLst>
          </c:dPt>
          <c:dPt>
            <c:idx val="6"/>
            <c:bubble3D val="0"/>
            <c:spPr>
              <a:solidFill>
                <a:schemeClr val="dk1">
                  <a:tint val="80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4-1E18-4B91-8B92-6318F0BF1598}"/>
              </c:ext>
            </c:extLst>
          </c:dPt>
          <c:dPt>
            <c:idx val="7"/>
            <c:bubble3D val="0"/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5-1E18-4B91-8B92-6318F0BF1598}"/>
              </c:ext>
            </c:extLst>
          </c:dPt>
          <c:dPt>
            <c:idx val="8"/>
            <c:bubble3D val="0"/>
            <c:spPr>
              <a:solidFill>
                <a:schemeClr val="dk1">
                  <a:tint val="55000"/>
                </a:schemeClr>
              </a:solidFill>
              <a:ln w="6350" cap="flat" cmpd="sng" algn="ctr">
                <a:solidFill>
                  <a:schemeClr val="lt1"/>
                </a:solidFill>
                <a:prstDash val="solid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1-CE48-4B77-876B-B6ECFBA1A230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E6640C38-BE5A-8949-A483-95C7EE1F2A93}" type="PERCENTAGE">
                      <a:rPr lang="en-US"/>
                      <a:pPr/>
                      <a:t>[ПРОЦЕНТ]</a:t>
                    </a:fld>
                    <a:endParaRPr lang="en-US"/>
                  </a:p>
                  <a:p>
                    <a:r>
                      <a:rPr lang="en-US"/>
                      <a:t>(7%)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1E18-4B91-8B92-6318F0BF1598}"/>
                </c:ext>
              </c:extLst>
            </c:dLbl>
            <c:dLbl>
              <c:idx val="2"/>
              <c:layout>
                <c:manualLayout>
                  <c:x val="-7.270335757448923E-2"/>
                  <c:y val="8.2938300225162215E-2"/>
                </c:manualLayout>
              </c:layout>
              <c:tx>
                <c:rich>
                  <a:bodyPr/>
                  <a:lstStyle/>
                  <a:p>
                    <a:fld id="{747D39D9-759E-9141-8ADF-A34C12E9B45E}" type="PERCENTAGE">
                      <a:rPr lang="en-US"/>
                      <a:pPr/>
                      <a:t>[ПРОЦЕНТ]</a:t>
                    </a:fld>
                    <a:r>
                      <a:rPr lang="en-US"/>
                      <a:t> </a:t>
                    </a:r>
                  </a:p>
                  <a:p>
                    <a:r>
                      <a:rPr lang="en-US"/>
                      <a:t>(8%)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E18-4B91-8B92-6318F0BF1598}"/>
                </c:ext>
              </c:extLst>
            </c:dLbl>
            <c:dLbl>
              <c:idx val="3"/>
              <c:layout>
                <c:manualLayout>
                  <c:x val="-0.10174418604651163"/>
                  <c:y val="4.9807479648800244E-2"/>
                </c:manualLayout>
              </c:layout>
              <c:tx>
                <c:rich>
                  <a:bodyPr/>
                  <a:lstStyle/>
                  <a:p>
                    <a:fld id="{F818E589-65C8-AE45-8D95-E1CE458D9584}" type="PERCENTAGE">
                      <a:rPr lang="en-US"/>
                      <a:pPr/>
                      <a:t>[ПРОЦЕНТ]</a:t>
                    </a:fld>
                    <a:r>
                      <a:rPr lang="en-US"/>
                      <a:t>(3%)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separator>, </c:separator>
              <c:extLst>
                <c:ext xmlns:c15="http://schemas.microsoft.com/office/drawing/2012/chart" uri="{CE6537A1-D6FC-4f65-9D91-7224C49458BB}">
                  <c15:layout>
                    <c:manualLayout>
                      <c:w val="0.1079734219269103"/>
                      <c:h val="0.1015228426395939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1E18-4B91-8B92-6318F0BF1598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D45288FF-87B5-FA4D-AA5C-055BD86083E4}" type="PERCENTAGE">
                      <a:rPr lang="en-US"/>
                      <a:pPr/>
                      <a:t>[ПРОЦЕНТ]</a:t>
                    </a:fld>
                    <a:r>
                      <a:rPr lang="en-US"/>
                      <a:t> (15%)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1E18-4B91-8B92-6318F0BF159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fld id="{BC3E75FD-EBD0-E945-A19A-DE929349ACD8}" type="PERCENTAGE">
                      <a:rPr lang="en-US"/>
                      <a:pPr/>
                      <a:t>[ПРОЦЕНТ]</a:t>
                    </a:fld>
                    <a:endParaRPr lang="ru-RU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1E18-4B91-8B92-6318F0BF159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55C25898-CDE7-864D-AF28-C7C142146F7F}" type="PERCENTAGE">
                      <a:rPr lang="en-US"/>
                      <a:pPr/>
                      <a:t>[ПРОЦЕНТ]</a:t>
                    </a:fld>
                    <a:r>
                      <a:rPr lang="en-US"/>
                      <a:t> (53%)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1E18-4B91-8B92-6318F0BF159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6350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товары!$D$2:$D$10</c:f>
              <c:strCache>
                <c:ptCount val="9"/>
                <c:pt idx="0">
                  <c:v>Продовольственные товары и сельскохозяйственное сырье</c:v>
                </c:pt>
                <c:pt idx="1">
                  <c:v>Минеральные продукты</c:v>
                </c:pt>
                <c:pt idx="2">
                  <c:v>Продукция химической промышленности, каучук</c:v>
                </c:pt>
                <c:pt idx="3">
                  <c:v>Кожевенное сырье, пушнина и изделия из них</c:v>
                </c:pt>
                <c:pt idx="4">
                  <c:v>Древесина и целлюлозно-бумажные изделия</c:v>
                </c:pt>
                <c:pt idx="5">
                  <c:v>Текстиль, текстильные изделия и обувь</c:v>
                </c:pt>
                <c:pt idx="6">
                  <c:v>Металлы, драгоценные камни и изделия из них</c:v>
                </c:pt>
                <c:pt idx="7">
                  <c:v>Машины, оборудование и транспортные средства</c:v>
                </c:pt>
                <c:pt idx="8">
                  <c:v>Прочие товары</c:v>
                </c:pt>
              </c:strCache>
            </c:strRef>
          </c:cat>
          <c:val>
            <c:numRef>
              <c:f>товары!$E$2:$E$10</c:f>
              <c:numCache>
                <c:formatCode>General</c:formatCode>
                <c:ptCount val="9"/>
                <c:pt idx="0">
                  <c:v>5.6</c:v>
                </c:pt>
                <c:pt idx="1">
                  <c:v>1.2</c:v>
                </c:pt>
                <c:pt idx="2">
                  <c:v>9.9</c:v>
                </c:pt>
                <c:pt idx="3">
                  <c:v>4.5999999999999996</c:v>
                </c:pt>
                <c:pt idx="4">
                  <c:v>0.8</c:v>
                </c:pt>
                <c:pt idx="5">
                  <c:v>10.7</c:v>
                </c:pt>
                <c:pt idx="6">
                  <c:v>6.3</c:v>
                </c:pt>
                <c:pt idx="7">
                  <c:v>55.4</c:v>
                </c:pt>
                <c:pt idx="8">
                  <c:v>5.4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E18-4B91-8B92-6318F0BF159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907819939592983"/>
          <c:y val="4.7879234393946368E-2"/>
          <c:w val="0.43846335790940705"/>
          <c:h val="0.95059530602152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lnSpc>
              <a:spcPct val="80000"/>
            </a:lnSpc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10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1">
      <a:schemeClr val="lt1"/>
    </cs:lnRef>
    <cs:fillRef idx="1">
      <cs:styleClr val="auto"/>
    </cs:fillRef>
    <cs:effectRef idx="1">
      <a:schemeClr val="dk1"/>
    </cs:effectRef>
    <cs:fontRef idx="minor">
      <a:schemeClr val="tx1"/>
    </cs:fontRef>
    <cs:spPr>
      <a:ln>
        <a:round/>
      </a:ln>
    </cs:spPr>
  </cs:dataPoint>
  <cs:dataPoint3D>
    <cs:lnRef idx="1">
      <a:schemeClr val="lt1"/>
    </cs:lnRef>
    <cs:fillRef idx="1">
      <cs:styleClr val="auto"/>
    </cs:fillRef>
    <cs:effectRef idx="1">
      <a:schemeClr val="dk1"/>
    </cs:effectRef>
    <cs:fontRef idx="minor">
      <a:schemeClr val="tx1"/>
    </cs:fontRef>
    <cs:spPr>
      <a:ln>
        <a:round/>
      </a:ln>
    </cs:spPr>
  </cs:dataPoint3D>
  <cs:dataPointLine>
    <cs:lnRef idx="1">
      <cs:styleClr val="auto"/>
    </cs:lnRef>
    <cs:lineWidthScale>5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1">
      <a:schemeClr val="dk1"/>
    </cs:effectRef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1">
      <a:schemeClr val="dk1"/>
    </cs:effectRef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1">
      <a:schemeClr val="dk1"/>
    </cs:effectRef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10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1">
      <a:schemeClr val="lt1"/>
    </cs:lnRef>
    <cs:fillRef idx="1">
      <cs:styleClr val="auto"/>
    </cs:fillRef>
    <cs:effectRef idx="1">
      <a:schemeClr val="dk1"/>
    </cs:effectRef>
    <cs:fontRef idx="minor">
      <a:schemeClr val="tx1"/>
    </cs:fontRef>
    <cs:spPr>
      <a:ln>
        <a:round/>
      </a:ln>
    </cs:spPr>
  </cs:dataPoint>
  <cs:dataPoint3D>
    <cs:lnRef idx="1">
      <a:schemeClr val="lt1"/>
    </cs:lnRef>
    <cs:fillRef idx="1">
      <cs:styleClr val="auto"/>
    </cs:fillRef>
    <cs:effectRef idx="1">
      <a:schemeClr val="dk1"/>
    </cs:effectRef>
    <cs:fontRef idx="minor">
      <a:schemeClr val="tx1"/>
    </cs:fontRef>
    <cs:spPr>
      <a:ln>
        <a:round/>
      </a:ln>
    </cs:spPr>
  </cs:dataPoint3D>
  <cs:dataPointLine>
    <cs:lnRef idx="1">
      <cs:styleClr val="auto"/>
    </cs:lnRef>
    <cs:lineWidthScale>5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1">
      <a:schemeClr val="dk1"/>
    </cs:effectRef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1">
      <a:schemeClr val="dk1"/>
    </cs:effectRef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1">
      <a:schemeClr val="dk1"/>
    </cs:effectRef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Исходные данные:</vt:lpstr>
    </vt:vector>
  </TitlesOfParts>
  <Company/>
  <LinksUpToDate>false</LinksUpToDate>
  <CharactersWithSpaces>13188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Исходные данные:</dc:title>
  <dc:subject/>
  <dc:creator>Alexander U. Filatov</dc:creator>
  <cp:keywords/>
  <cp:lastModifiedBy>AlexFilatov</cp:lastModifiedBy>
  <cp:revision>2</cp:revision>
  <dcterms:created xsi:type="dcterms:W3CDTF">2020-10-03T17:09:00Z</dcterms:created>
  <dcterms:modified xsi:type="dcterms:W3CDTF">2020-10-03T17:09:00Z</dcterms:modified>
</cp:coreProperties>
</file>